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374" w:rsidRPr="00F57901" w:rsidRDefault="002E5374" w:rsidP="00F57901">
      <w:pPr>
        <w:jc w:val="center"/>
      </w:pPr>
      <w:r w:rsidRPr="00F57901">
        <w:t>Christian Theism and the Evidential Problem of Evil</w:t>
      </w:r>
    </w:p>
    <w:p w:rsidR="002E5374" w:rsidRDefault="002E5374" w:rsidP="00F57901">
      <w:pPr>
        <w:jc w:val="center"/>
      </w:pPr>
      <w:r w:rsidRPr="00F57901">
        <w:t>An Alternative to Skeptical Theism</w:t>
      </w:r>
    </w:p>
    <w:p w:rsidR="002E5374" w:rsidRPr="00F57901" w:rsidRDefault="002E5374" w:rsidP="00F57901">
      <w:pPr>
        <w:jc w:val="center"/>
      </w:pPr>
    </w:p>
    <w:p w:rsidR="002E5374" w:rsidRDefault="002E5374" w:rsidP="00E34A6F">
      <w:pPr>
        <w:ind w:left="720"/>
      </w:pPr>
      <w:r w:rsidRPr="0089734A">
        <w:rPr>
          <w:i/>
          <w:iCs/>
        </w:rPr>
        <w:t>Abstract</w:t>
      </w:r>
      <w:r>
        <w:t>: There is one steelman version of skeptical theism that has not previously been attempted—arguing that due to our ignorance, evil is probabilistically irrelevant to theism, rather than probabilistically inscrutable. But even this version has devastating consequences for other arguments for traditional theism. A more promising approach for the theist is to use the resources of Christianity, rather than generic theism, to respond to the evidential problem of evil. Despite the fact that Christianity takes on more metaphysical commitments than generic theism, it also has more resources for explaining evil within a theistic context. There are also arguments for Christianity that could potentially outweigh its extra commitments and even remaining counterevidence from the evidential problem of evil. While Christianity does not answer all understandable questions about evil, it does limit their impact and produce a probabilistically tractable understanding.</w:t>
      </w:r>
    </w:p>
    <w:p w:rsidR="002E5374" w:rsidRDefault="002E5374" w:rsidP="00D00F48">
      <w:pPr>
        <w:rPr>
          <w:u w:val="single"/>
        </w:rPr>
      </w:pPr>
    </w:p>
    <w:p w:rsidR="002E5374" w:rsidRPr="00D00F48" w:rsidRDefault="002E5374" w:rsidP="00D00F48">
      <w:r>
        <w:rPr>
          <w:u w:val="single"/>
        </w:rPr>
        <w:t xml:space="preserve">1. </w:t>
      </w:r>
      <w:r w:rsidRPr="00D00F48">
        <w:rPr>
          <w:u w:val="single"/>
        </w:rPr>
        <w:t>Ignorance and equiprobability: A way out for skeptical theists?</w:t>
      </w:r>
    </w:p>
    <w:p w:rsidR="002E5374" w:rsidRPr="00D00F48" w:rsidRDefault="002E5374" w:rsidP="00D00F48">
      <w:pPr>
        <w:spacing w:line="240" w:lineRule="auto"/>
      </w:pPr>
      <w:r w:rsidRPr="00D00F48">
        <w:t> </w:t>
      </w:r>
    </w:p>
    <w:p w:rsidR="002E5374" w:rsidRPr="00D00F48" w:rsidRDefault="002E5374" w:rsidP="00D00F48">
      <w:pPr>
        <w:spacing w:line="240" w:lineRule="auto"/>
      </w:pPr>
      <w:r w:rsidRPr="00D00F48">
        <w:t xml:space="preserve">Nevin Climenhaga </w:t>
      </w:r>
      <w:r>
        <w:t xml:space="preserve">(forthcoming) </w:t>
      </w:r>
      <w:r w:rsidRPr="00D00F48">
        <w:t xml:space="preserve">has argued that strong skeptical theism as a response to the evidential problem of evil renders it impossible for other evidence for the existence of God to have any effect upon its posterior probability. </w:t>
      </w:r>
      <w:r>
        <w:t>Climenhaga characterizes the skeptical theistic response as the claim that the probability of evil given theism—P(E|T)—is strictly inscrutable. His argu</w:t>
      </w:r>
      <w:r w:rsidRPr="00D00F48">
        <w:t>ment</w:t>
      </w:r>
      <w:r>
        <w:t xml:space="preserve"> against this response</w:t>
      </w:r>
      <w:r w:rsidRPr="00D00F48">
        <w:t>, briefly, is that if, for all we know, the probability of evil given the existence of God is lower than the probability of evil given the non-existence of God, then for all we know the probability of the existence of God (given the evil we observe) is very low, so low that it swamps any positive impact of other evidence</w:t>
      </w:r>
      <w:r>
        <w:t xml:space="preserve"> that is helpful to theism</w:t>
      </w:r>
      <w:r w:rsidRPr="00D00F48">
        <w:t>.</w:t>
      </w:r>
      <w:r>
        <w:t xml:space="preserve"> While Climenhaga sometimes expresses this as a problem arising from the inscrutability of the probability of evil given theism alone, he qualifies this (pp. 17-18) by saying that, while even an estimate of the Bayes factor comparing the probability of evil given theism to the probability of evil given its negation would be epistemically helpful, the strong inscrutability thesis of skeptical theism seems to rule out an evaluation of this ratio as well.</w:t>
      </w:r>
    </w:p>
    <w:p w:rsidR="002E5374" w:rsidRPr="00D00F48" w:rsidRDefault="002E5374" w:rsidP="00D00F48">
      <w:pPr>
        <w:spacing w:line="240" w:lineRule="auto"/>
      </w:pPr>
      <w:r w:rsidRPr="00D00F48">
        <w:t>            There is one steelman response on the</w:t>
      </w:r>
      <w:r>
        <w:t xml:space="preserve"> part of skeptical theists that</w:t>
      </w:r>
      <w:r w:rsidRPr="00D00F48">
        <w:t xml:space="preserve"> Climenhaga doesn’t anticipate and that, at first blush, appears to of</w:t>
      </w:r>
      <w:r>
        <w:t>fer a way out of this problem. Concerning the evidence of evil, t</w:t>
      </w:r>
      <w:r w:rsidRPr="00D00F48">
        <w:t xml:space="preserve">he skeptical theist can argue not that </w:t>
      </w:r>
      <w:r>
        <w:t xml:space="preserve">the ratio </w:t>
      </w:r>
      <w:r w:rsidRPr="00D00F48">
        <w:t>P(E|T)/P(E|~T) is inscrutable, due to our ignorance, but rather that our ignorance makes it equal to 1.</w:t>
      </w:r>
      <w:r>
        <w:rPr>
          <w:rStyle w:val="FootnoteReference"/>
        </w:rPr>
        <w:footnoteReference w:id="1"/>
      </w:r>
      <w:r w:rsidRPr="00D00F48">
        <w:t xml:space="preserve"> In other words, due to our ignorance of God’s reasons for allowing evil, we should treat evil as </w:t>
      </w:r>
      <w:r w:rsidRPr="00D74562">
        <w:rPr>
          <w:i/>
          <w:iCs/>
        </w:rPr>
        <w:t>irrelevant</w:t>
      </w:r>
      <w:r w:rsidRPr="00D00F48">
        <w:t xml:space="preserve"> to the existence of God.</w:t>
      </w:r>
    </w:p>
    <w:p w:rsidR="002E5374" w:rsidRDefault="002E5374">
      <w:r>
        <w:tab/>
        <w:t xml:space="preserve">There are analogies which make this response somewhat plausible at first blush. One of the simplest is the case of a weighted coin, if I know that it is weighted but not whether it is weighted for heads or for tails. By definition, a weighted coin is causally inclined to fall more often on heads or on tails, but if I don’t know the direction of the weighting, my ignorance makes tails and heads epistemically symmetrical. Hence, plausibly, my epistemic probability for heads or tails on any given toss should be .5, just as it would be if I knew that the coin was fair. (On epistemic randomness, see L. McGrew and T. McGrew, 2006, Chapter 7, and Kyburg, 1977.) The causal relevance of weighting doesn’t change the rational epistemic probability if I don’t know the </w:t>
      </w:r>
      <w:r w:rsidRPr="002E2D5C">
        <w:rPr>
          <w:i/>
          <w:iCs/>
        </w:rPr>
        <w:t>direction</w:t>
      </w:r>
      <w:r>
        <w:t xml:space="preserve"> of weighting. Hence, due to my ignorance of the direction, the mere knowledge that the coin is weighted is irrelevant to my expectation that it will fall heads on some particular toss. Heads and tails are still </w:t>
      </w:r>
      <w:r w:rsidRPr="002E2D5C">
        <w:rPr>
          <w:i/>
          <w:iCs/>
        </w:rPr>
        <w:t>epistemically</w:t>
      </w:r>
      <w:r>
        <w:t xml:space="preserve"> equiprobable to begin with, just as they are if the coin is fair.</w:t>
      </w:r>
      <w:r>
        <w:rPr>
          <w:rStyle w:val="FootnoteReference"/>
        </w:rPr>
        <w:footnoteReference w:id="2"/>
      </w:r>
    </w:p>
    <w:p w:rsidR="002E5374" w:rsidRDefault="002E5374">
      <w:r>
        <w:tab/>
        <w:t>A more elaborate analogy seems particularly relevant to the problem of evil. Suppose that Jones is running for President of the United States. I know that he advocates certain economic policies and that, if he becomes President, he will have a significant amount of power to put these policies into action. However, I am so ignorant of economics that I have no idea whether his policies are likely to be helpful or harmful to the economy. I know that they are likely to have some effect, but not what that effect will probably be. My ignorance is such that I cannot even compare the probable effects of Jones’s preferred policies with those of his sole opponent.</w:t>
      </w:r>
    </w:p>
    <w:p w:rsidR="002E5374" w:rsidRDefault="002E5374">
      <w:r>
        <w:tab/>
        <w:t xml:space="preserve">Now suppose (however implausibly) that, without knowing whether or not Jones was elected, I am told that in fact the economy is far worse off four years after the election in question. Arguably, due to my ignorance of the probable impact of Jones’s policies, I have no way of evaluating this information </w:t>
      </w:r>
      <w:r w:rsidRPr="002E2D5C">
        <w:rPr>
          <w:i/>
          <w:iCs/>
        </w:rPr>
        <w:t>vis a vis</w:t>
      </w:r>
      <w:r>
        <w:t xml:space="preserve"> whether or not Jones was elected. Since I don’t know the probability of an economic downturn given Jones’s election or how that compares to the probability of a downturn given that his opponent was elected, I don’t know how to evaluate the probability that he was elected given a subsequent economic downturn.</w:t>
      </w:r>
    </w:p>
    <w:p w:rsidR="002E5374" w:rsidRDefault="002E5374">
      <w:r>
        <w:tab/>
        <w:t>But this doesn’t seem intuitively to result in epistemic paralysis as far as deciding, by some other evidential route, that Jones was indeed elected. If I have watched video that appears to portray Jones’s ceremony of inauguration, I can conditionalize normally on this evidence and have a strong posterior probability that Jones was elected.</w:t>
      </w:r>
    </w:p>
    <w:p w:rsidR="002E5374" w:rsidRDefault="002E5374">
      <w:r>
        <w:tab/>
        <w:t xml:space="preserve">Probabilistically, it seems that the best way to model all of this is to say that, where J is “Jones is elected” and D is “there is an economic downturn during the four years after the election in which Jones was running,” I can treat the Bayes factor P(D|J)/P(D|~J) as equal to 1—in other words, I can treat the economic downturn as irrelevant to the probability that J was elected, due to my ignorance. Then where V is the video of Jones’s apparent inauguration ceremony, P(J|V &amp; D) can be very high, just as it should be. </w:t>
      </w:r>
    </w:p>
    <w:p w:rsidR="002E5374" w:rsidRDefault="002E5374">
      <w:r>
        <w:tab/>
        <w:t>Even if I have a naïve optimism about how informed my fellow citizens are, thinking that they know more than I do and are unlikely to elect a candidate with poor economic policies, this optimism (or the parallel cynicism that says that my fellow citizens are</w:t>
      </w:r>
      <w:r w:rsidRPr="005A00A1">
        <w:rPr>
          <w:i/>
          <w:iCs/>
        </w:rPr>
        <w:t xml:space="preserve"> </w:t>
      </w:r>
      <w:r w:rsidRPr="005A00A1">
        <w:t>more</w:t>
      </w:r>
      <w:r>
        <w:t xml:space="preserve"> likely to elect a candidate with </w:t>
      </w:r>
      <w:r w:rsidRPr="005A00A1">
        <w:rPr>
          <w:i/>
          <w:iCs/>
        </w:rPr>
        <w:t>poor</w:t>
      </w:r>
      <w:r>
        <w:t xml:space="preserve"> economic policies) doesn’t change these other probabilistic estimates. For the optimism or cynicism does not apply to Jones any more than to the only other candidate; therefore, if I possessed direct evidence V and also evidence D of the downturn, or evidence ~D (that the economy stayed the same or improved) the premise affected in that case should be the optimistic or pessimistic assumption about the electorate’s wisdom, not the proposition that Jones was, indeed, elected.</w:t>
      </w:r>
    </w:p>
    <w:p w:rsidR="002E5374" w:rsidRDefault="002E5374">
      <w:r>
        <w:tab/>
        <w:t xml:space="preserve">All of this can be translated to the case of evil and traditional theism. Even if I hold that God has power to allow or disallow various evils in the world (so his will is causally relevant to what I observe), if strong skeptical theism is correct, I don’t know which way this is likely to affect what evil I observe. My ignorance of God’s reasons for causing and/or permitting evil, like my ignorance of economics, means that I just don’t know what to expect as far as evil is concerned in a theistic universe. But, the skeptical theist could say, this need not lead to a global inability to evaluate the posterior probability of theism (T) on all evidence, </w:t>
      </w:r>
      <w:r w:rsidRPr="005A00A1">
        <w:rPr>
          <w:i/>
          <w:iCs/>
        </w:rPr>
        <w:t>contra</w:t>
      </w:r>
      <w:r>
        <w:t xml:space="preserve"> Climenhaga. Rather, the skeptical theist could say, I should model my own ignorance as a Bayes factor of 1 or close to 1 for P(E|T)/P(E|~T). In other words, I should just treat evil as probabilistically irrelevant to the truth of theism. This produces a well-behaved probability distribution in which other evidence for theism, whatever it might be (evidence for miracles, for fine-tuning, for biological design, for the universe’s having a beginning, etc.) can take its rightful place in producing a probability for theism overall.</w:t>
      </w:r>
    </w:p>
    <w:p w:rsidR="002E5374" w:rsidRDefault="002E5374"/>
    <w:p w:rsidR="002E5374" w:rsidRPr="005A00A1" w:rsidRDefault="002E5374">
      <w:pPr>
        <w:rPr>
          <w:u w:val="single"/>
        </w:rPr>
      </w:pPr>
      <w:r>
        <w:rPr>
          <w:u w:val="single"/>
        </w:rPr>
        <w:t>2. Not so fast! The Omni God v</w:t>
      </w:r>
      <w:r w:rsidRPr="005A00A1">
        <w:rPr>
          <w:u w:val="single"/>
        </w:rPr>
        <w:t xml:space="preserve">s. </w:t>
      </w:r>
      <w:r>
        <w:rPr>
          <w:u w:val="single"/>
        </w:rPr>
        <w:t>the politician</w:t>
      </w:r>
    </w:p>
    <w:p w:rsidR="002E5374" w:rsidRDefault="002E5374"/>
    <w:p w:rsidR="002E5374" w:rsidRDefault="002E5374">
      <w:r>
        <w:t xml:space="preserve">But this attempted response on the part of the skeptical theist, interesting though it is, is in turn subject to a refutation on the grounds that the case of theism is importantly disanalogous to the case of Jones’s election. For Jones, as a mere human politician, is not </w:t>
      </w:r>
      <w:r w:rsidRPr="005A00A1">
        <w:rPr>
          <w:i/>
          <w:iCs/>
        </w:rPr>
        <w:t>defined</w:t>
      </w:r>
      <w:r>
        <w:t xml:space="preserve"> as possessing either omniscience or omnibenevolence. (Or for that matter omnipotence. But the other two “omnis” are sufficient to show the problem.) It is a wide open possibility that J is true—Jones is elected President—but that he is a</w:t>
      </w:r>
      <w:r w:rsidRPr="005A00A1">
        <w:rPr>
          <w:i/>
          <w:iCs/>
        </w:rPr>
        <w:t xml:space="preserve"> bad </w:t>
      </w:r>
      <w:r>
        <w:t>President, either morally bad or foolish.</w:t>
      </w:r>
    </w:p>
    <w:p w:rsidR="002E5374" w:rsidRDefault="002E5374">
      <w:r>
        <w:tab/>
        <w:t>This point allows a reinstatement of Climenhaga’s original argument along the following lines: While my ignorance of economics allows evidence of an economic downturn to be treated as irrelevant to the election of an all-too-fallible Jones, it is not irrelevant to the conjunction of J with G—“Jones is an extremely benevolent and extremely wise politician.” For if Jones’s policies are going to be very bad for the economy, but he doesn’t know this, then he is not a wise politician. And if they are very bad for the economy and he does know this, but advocates them anyway, then he is not a morally good politician. Arguably, then,</w:t>
      </w:r>
    </w:p>
    <w:p w:rsidR="002E5374" w:rsidRDefault="002E5374"/>
    <w:p w:rsidR="002E5374" w:rsidRDefault="002E5374">
      <w:r>
        <w:t>P(D|J&amp;G)/P(D|~(J&amp;G)) &lt; 1.</w:t>
      </w:r>
    </w:p>
    <w:p w:rsidR="002E5374" w:rsidRDefault="002E5374"/>
    <w:p w:rsidR="002E5374" w:rsidRDefault="002E5374">
      <w:r>
        <w:t xml:space="preserve">In other words, evidence of an economic downturn by four years after the election is evidence against the claim that Jones was elected </w:t>
      </w:r>
      <w:r w:rsidRPr="00ED632C">
        <w:rPr>
          <w:i/>
          <w:iCs/>
        </w:rPr>
        <w:t>and is a very wise and good leader</w:t>
      </w:r>
      <w:r>
        <w:t xml:space="preserve">, given that we have in background that he will have significant power to effect his desired  economic policies. It is evidence against that conjunction because it is evidence against G, and because (plausibly) there is nothing else in the relationship of D, G, and J which offsets that negative effect. </w:t>
      </w:r>
    </w:p>
    <w:p w:rsidR="002E5374" w:rsidRDefault="002E5374">
      <w:r>
        <w:tab/>
        <w:t xml:space="preserve">In fact, even if I had evidence V showing that Jones was inaugurated as President, this would not help to reinstated the conjunction (J &amp; G), since the evidence of the downturn would still tend to show that he is not a very good and wise President. In fact, even if I had other evidence about non-economic policies that tended to confirm G, since a good President is supposed to be benevolent and knowledgeable </w:t>
      </w:r>
      <w:r w:rsidRPr="005A00A1">
        <w:rPr>
          <w:i/>
          <w:iCs/>
        </w:rPr>
        <w:t>about economics</w:t>
      </w:r>
      <w:r>
        <w:t xml:space="preserve"> as well as other things (or be very wise in choosing advisors who set his economic policies), evidence D would still be evidence against G. And in principle it could swamp other evidence about Jones’s other good policies, so that I would be forced to conclude, all things considered, that (J &amp; G) is false, not because Jones wasn’t elected, but because G is false.</w:t>
      </w:r>
    </w:p>
    <w:p w:rsidR="002E5374" w:rsidRDefault="002E5374">
      <w:r>
        <w:tab/>
        <w:t>The disanalogy, of course, arises from the fact that, in the case of a human politician, straightforward evidence that he was in fact elected is largely or wholly separable from evidence about the wisdom and benevolence of his policies. No human politician is defined as</w:t>
      </w:r>
      <w:r w:rsidRPr="005A00A1">
        <w:rPr>
          <w:i/>
          <w:iCs/>
        </w:rPr>
        <w:t xml:space="preserve"> essentially</w:t>
      </w:r>
      <w:r>
        <w:t xml:space="preserve"> wise and benevolent. But in the case of traditional theism, omnibenevolence and omniscience are defined as part of the package contained in T. Either maltheism or the thesis that God is ignorant and makes major, well-intentioned mistakes is treated as a version of ~T.</w:t>
      </w:r>
    </w:p>
    <w:p w:rsidR="002E5374" w:rsidRDefault="002E5374">
      <w:r>
        <w:tab/>
        <w:t>Of course it would be possible to stipulate that we are changing that and treating maltheism or some other non-omni theism as a subhypothesis of T itself. This could allow some evidence for theism that affects only, say, power (but not goodness or wisdom, in some larger axiological sense of “wisdom”) to have its impact. But that would take us away from the entire conversation surrounding the Problem of Evil, where what we want to talk about is the impact of the evils we observe upon the probability that an omni-God exists. How probable is it that God is all-powerful, all-knowing, and perfectly good while still allowing the evils we observe? Hence, the politician example does not solve the problem that Climenhaga raises for skeptical theism.</w:t>
      </w:r>
    </w:p>
    <w:p w:rsidR="002E5374" w:rsidRDefault="002E5374">
      <w:r>
        <w:tab/>
        <w:t xml:space="preserve">The point can be seen even more clearly in relation to a particular argument from “negative theology” for evidential theistic arguments. Both Elliot Sober (1999, 2007) and Thomas Crisp (2009) have argued that, since we cannot make an independent argument regarding God’s probable motives and goals, we cannot use evidence from design (says Sober) or from testimony to the resurrection (says Crisp) for the existence of the God of traditional theism. Sober’s and Crisp’s arguments both founder on their insistence that the numerator of a Bayes factor must be established separately from the denominator before we can evaluate how top-heavy the Bayes factor is (L. McGrew 2013b, 2018a). For example, Crisp argues that the numerator P(tR|T)—that is, the probability of testimony to Jesus’ resurrection given theism—is inscrutable and hence that we cannot know whether this testimony is good evidence for Jesus’ resurrection, where we construe the resurrection in such a way that it entails theism. </w:t>
      </w:r>
    </w:p>
    <w:p w:rsidR="002E5374" w:rsidRDefault="002E5374">
      <w:r>
        <w:tab/>
        <w:t>As Climenhaga (forthcoming), Timothy McGrew (2003), and I (L. McGrew, 2018a) have all pointed out, a Bayes factor can be estimated without evaluating or even estimating its numerator and denominator separately. But since Sober (2004) specifically references “negative theology,” which he glosses as the proposition that God is vastly and incomprehensibly unlike ourselves, Sober might insist that it is not even possible to estimate such a Bayes factor, since (he thinks) we have absolutely no idea what God is likely to do or whether it is more likely than what we would expect if God did not exist at all.</w:t>
      </w:r>
    </w:p>
    <w:p w:rsidR="002E5374" w:rsidRDefault="002E5374">
      <w:r>
        <w:tab/>
        <w:t>I have argued (L. McGrew, 2013b), in response to this suggestion of extreme skepticism, that such a view of God begs the question against non-deistic theism. Sober’s extreme “negative theology” suggestion is a problem only for versions of theism that emphasize divine transcendence to such an extent as to make God unknowable. The theist can respond that he is arguing for the existence of a God who is at least sufficiently like ourselves that he is able and willing (at least at times) to reveal himself to us. We are therefore not subject to the extreme agnostic consequences of Sober’s “negative theology” idea, as long as we reject the extreme version of divine inscrutability itself, which is no necessary part of traditional theism.</w:t>
      </w:r>
    </w:p>
    <w:p w:rsidR="002E5374" w:rsidRDefault="002E5374">
      <w:r>
        <w:tab/>
        <w:t xml:space="preserve">Arguably, the strong skeptical theists to whom Climenhaga (and this paper) are responding are putting the theist in a position somewhat similar to that of Sober’s “negative theology,” but specifically with respect to God’s revealing himself </w:t>
      </w:r>
      <w:r w:rsidRPr="00FD79E4">
        <w:rPr>
          <w:i/>
          <w:iCs/>
        </w:rPr>
        <w:t>as good</w:t>
      </w:r>
      <w:r>
        <w:t>. Though the motive may be to protect theism from the negative effect of the evidential Problem of Evil, the cost may indeed be as great as Climenhaga suggests—the impossibility of knowing evidentially that (even probably) a supremely good, wise, and powerful God exists. Even if one defines God as omniscient and omnibenevolent, this will not be helpful evidentially if one says that, due to God’s unlikeness to ourselves, the evidence we possess can be no different (as far as we are capable of seeing) from what it would be like if an omnibenevolent and omniscient God did not exist (i.e., if there were no God at all or only a non-benevolent being who created the world). We could say in that case that such a God is unable to reveal himself</w:t>
      </w:r>
      <w:r w:rsidRPr="00FD79E4">
        <w:rPr>
          <w:i/>
          <w:iCs/>
        </w:rPr>
        <w:t xml:space="preserve"> as</w:t>
      </w:r>
      <w:r>
        <w:t xml:space="preserve"> good and wise--that he is not revealably good and wise.</w:t>
      </w:r>
    </w:p>
    <w:p w:rsidR="002E5374" w:rsidRDefault="002E5374">
      <w:r>
        <w:tab/>
        <w:t>This problem is especially acute if an internalist attempts to adopt this strong skeptical theism. Hendricks (2021) has argued against the claim that the skeptical theist must say that, for all we know, God has radically deceived us or is not good. But his response to this concern seems to turn on an externalist notion of “for all we know.” That is,</w:t>
      </w:r>
      <w:r w:rsidRPr="00950309">
        <w:rPr>
          <w:i/>
          <w:iCs/>
        </w:rPr>
        <w:t xml:space="preserve"> if</w:t>
      </w:r>
      <w:r>
        <w:t xml:space="preserve"> we in fact have reliably-formed beliefs that a good God exists, then it just isn’t true that, for all we know, God is not good. An internalist has no such option, for an internalist adopts a concept of justification (and hence of knowledge) that is satisfied only if epistemic principles yield (at least in principle) to conceptual scrutiny (T. McGrew and L. McGrew, 2006). If our belief that the traditional God exists is in need of evidential justification, then on an internalist view, we are not able to content ourselves with ifs. An internalist evidentialist, then, would do well to be skeptical about skeptical theism as a response to the problem of evil.</w:t>
      </w:r>
    </w:p>
    <w:p w:rsidR="002E5374" w:rsidRDefault="002E5374">
      <w:r>
        <w:tab/>
        <w:t>But there is a better way.</w:t>
      </w:r>
    </w:p>
    <w:p w:rsidR="002E5374" w:rsidRDefault="002E5374"/>
    <w:p w:rsidR="002E5374" w:rsidRPr="00950309" w:rsidRDefault="002E5374">
      <w:pPr>
        <w:rPr>
          <w:u w:val="single"/>
        </w:rPr>
      </w:pPr>
      <w:r>
        <w:rPr>
          <w:u w:val="single"/>
        </w:rPr>
        <w:t xml:space="preserve">3. </w:t>
      </w:r>
      <w:r w:rsidRPr="00950309">
        <w:rPr>
          <w:u w:val="single"/>
        </w:rPr>
        <w:t>Unskeptical Christian Theism</w:t>
      </w:r>
    </w:p>
    <w:p w:rsidR="002E5374" w:rsidRDefault="002E5374"/>
    <w:p w:rsidR="002E5374" w:rsidRDefault="002E5374">
      <w:r>
        <w:t>Eleanore Stump (1985, pp. 397-399) has suggested that it is more helpful to consider the Problem of Evil in relation to Christian theism than in relation to generic theism. While Stump does not analyze this suggestion in Bayesian terms, it is possible to do so, and a response emerges from Christian doctrine that scarcely can be called “skeptical theism” at all.</w:t>
      </w:r>
    </w:p>
    <w:p w:rsidR="002E5374" w:rsidRDefault="002E5374">
      <w:r>
        <w:tab/>
        <w:t xml:space="preserve">While the Christian theist can, and should, often say that he does not know the </w:t>
      </w:r>
      <w:r w:rsidRPr="00133361">
        <w:rPr>
          <w:i/>
          <w:iCs/>
        </w:rPr>
        <w:t xml:space="preserve">specific </w:t>
      </w:r>
      <w:r>
        <w:t xml:space="preserve">divine reason for permitting some </w:t>
      </w:r>
      <w:r w:rsidRPr="00133361">
        <w:rPr>
          <w:i/>
          <w:iCs/>
        </w:rPr>
        <w:t>specific</w:t>
      </w:r>
      <w:r>
        <w:t xml:space="preserve"> instance of evil, Christian doctrine provides categories of God-justifying reasons such that the Christian theist can often be reasonably confident that one or the other of the God-justifying reasons applies to it, even if he does not know which one or exactly how it will all work out. The range of reasons given in the Judeo-Christian Scriptures for evils that are ostensibly compatible with divine omnibenevolence is surprisingly wide: For example,</w:t>
      </w:r>
    </w:p>
    <w:p w:rsidR="002E5374" w:rsidRDefault="002E5374"/>
    <w:p w:rsidR="002E5374" w:rsidRDefault="002E5374">
      <w:r>
        <w:t>--There is an afterlife in which God will bestow a glorified state that will more than compensate for earthly suffering (Rom. 8:18, Rev. 21:4). The greatness of sufferings can even increase the glory of one’s state in the afterlife (2 Cor. 4:16-18, James 1:12).</w:t>
      </w:r>
      <w:r>
        <w:rPr>
          <w:rStyle w:val="FootnoteReference"/>
        </w:rPr>
        <w:footnoteReference w:id="3"/>
      </w:r>
    </w:p>
    <w:p w:rsidR="002E5374" w:rsidRDefault="002E5374"/>
    <w:p w:rsidR="002E5374" w:rsidRDefault="002E5374">
      <w:r>
        <w:t>--Neither natural nor moral evil can separate those who are united with God from the love of Jesus (John 10:27-30, Rom. 8:35-39).</w:t>
      </w:r>
    </w:p>
    <w:p w:rsidR="002E5374" w:rsidRDefault="002E5374"/>
    <w:p w:rsidR="002E5374" w:rsidRDefault="002E5374">
      <w:r>
        <w:t xml:space="preserve">--Man (as opposed to non-human animals) is made in the image of God (Gen. 1:26). </w:t>
      </w:r>
    </w:p>
    <w:p w:rsidR="002E5374" w:rsidRDefault="002E5374"/>
    <w:p w:rsidR="002E5374" w:rsidRDefault="002E5374">
      <w:r>
        <w:t>--Man fell at the beginning of the human race (Genesis 3:1-20) and this fall brought about natural evils such as sickness and death, encompassing the whole creation, but these losses will be somehow restored in the end with a new heaven and a new earth (Rom. 8:19-22, 2 Peter 3:13).</w:t>
      </w:r>
    </w:p>
    <w:p w:rsidR="002E5374" w:rsidRDefault="002E5374"/>
    <w:p w:rsidR="002E5374" w:rsidRDefault="002E5374">
      <w:r>
        <w:t>--God gives freedom to mankind to choose to do good or evil (Deut. 30:19, Heb. 10:26). There is a personal devil, a created being who willfully turned to evil, who sometimes causes disease, thus turning some natural evils into moral evils and making effective free will relevant (Is. 14:12-14, Luke 10:18, 13:16).</w:t>
      </w:r>
    </w:p>
    <w:p w:rsidR="002E5374" w:rsidRDefault="002E5374"/>
    <w:p w:rsidR="002E5374" w:rsidRDefault="002E5374">
      <w:r>
        <w:t>--God will, in the apocalyptic end of the universe, punish determined evil persons, including the devil, and will prevent them from doing any more harm (Is. 11:9, Rev. 20:10).</w:t>
      </w:r>
    </w:p>
    <w:p w:rsidR="002E5374" w:rsidRDefault="002E5374"/>
    <w:p w:rsidR="002E5374" w:rsidRDefault="002E5374" w:rsidP="00D97EB5">
      <w:r>
        <w:t>--God is not willing that anyone should be separated from him in the afterlife (2 Peter 3:9) and offers those who are wicked opportunities to repent (Ezekiel 3:17-21, Jonah 4:11). This is a partial explanation for the delay in the apocalyptic end of sin and death (2 Peter 3:9-12).</w:t>
      </w:r>
    </w:p>
    <w:p w:rsidR="002E5374" w:rsidRDefault="002E5374"/>
    <w:p w:rsidR="002E5374" w:rsidRDefault="002E5374">
      <w:r>
        <w:t>--God created a natural order and considers the natural order itself to be good (Gen. 1:31).</w:t>
      </w:r>
    </w:p>
    <w:p w:rsidR="002E5374" w:rsidRDefault="002E5374"/>
    <w:p w:rsidR="002E5374" w:rsidRDefault="002E5374">
      <w:r>
        <w:t>--God sometimes uses miracles as signs to verify the credentials of a messenger (John 20:30-31). This use of miracles as signs requires that humans be able to recognize a backdrop of natural order, against which the miraculous sign stands out. E.g. The recognition that virgins do not naturally conceive is necessary for the virgin birth of Jesus to be a sign (Matt. 1:22-23). The recognition that a man born blind would not naturally receive his sight allowed Jesus’ healing of such a man to be recognized as a sign that he was sent from God (John 9:3, 16, 31-33).</w:t>
      </w:r>
    </w:p>
    <w:p w:rsidR="002E5374" w:rsidRDefault="002E5374"/>
    <w:p w:rsidR="002E5374" w:rsidRDefault="002E5374">
      <w:r>
        <w:t xml:space="preserve">--God uses suffering for the purpose of soul-making (Job 23:10, Ps. 119:71, Rom. 5:3-5, James 1:2-4, Phil. 3:10). </w:t>
      </w:r>
    </w:p>
    <w:p w:rsidR="002E5374" w:rsidRDefault="002E5374"/>
    <w:p w:rsidR="002E5374" w:rsidRDefault="002E5374">
      <w:r>
        <w:tab/>
        <w:t xml:space="preserve">While I do not claim that every type of evil that we observe is even </w:t>
      </w:r>
      <w:r w:rsidRPr="008F7418">
        <w:rPr>
          <w:i/>
          <w:iCs/>
        </w:rPr>
        <w:t>prima facie</w:t>
      </w:r>
      <w:r>
        <w:t xml:space="preserve"> explained by these considerations (see below), there are many cases where a Christian can be confident that </w:t>
      </w:r>
      <w:r w:rsidRPr="008F7418">
        <w:rPr>
          <w:i/>
          <w:iCs/>
        </w:rPr>
        <w:t xml:space="preserve">one or the other </w:t>
      </w:r>
      <w:r>
        <w:t>of these ideas, and perhaps several simultaneously, do apply.</w:t>
      </w:r>
    </w:p>
    <w:p w:rsidR="002E5374" w:rsidRDefault="002E5374">
      <w:r>
        <w:tab/>
        <w:t>Formally speaking, these Christian theological views have one great advantage: Since Christian theism (C) is a proper subhypothesis of theism (i.e., it entails omni-theism but is not entailed by omni-theism), and since Christianity speaks directly to the problem of evil and indeed leads us to expect some types of evils, it sets a lower bound on the probability of evil given theism. The probability of evil given theism cannot be less than the probability of evil given Christianity, weighted by the probability (on independent grounds) of Christianity.</w:t>
      </w:r>
    </w:p>
    <w:p w:rsidR="002E5374" w:rsidRDefault="002E5374"/>
    <w:p w:rsidR="002E5374" w:rsidRDefault="002E5374">
      <w:r>
        <w:t>P(E|T) ≥ P(E|C) P(C)</w:t>
      </w:r>
    </w:p>
    <w:p w:rsidR="002E5374" w:rsidRDefault="002E5374"/>
    <w:p w:rsidR="002E5374" w:rsidRDefault="002E5374">
      <w:r>
        <w:t>This directly addresses Climenhaga’s concern about a strictly inscrutable Bayes factor for evil and theism.</w:t>
      </w:r>
    </w:p>
    <w:p w:rsidR="002E5374" w:rsidRDefault="002E5374">
      <w:r>
        <w:tab/>
        <w:t>Benton et. al. (2016, p. 10) have observed that Christian theism might even be confirmed by a given instance of evil when generic theism is disconfirmed. Their example is the horrible death of Jesus, an innocent man, which is a central teaching of Christianity and which, according to Christian theology, brought about the far greater good of redeeming the world from sin and even ultimately redeeming the earth from natural evils. One might say that in the death of Jesus we see a case in point where the worst thing that can happen is really the best thing.</w:t>
      </w:r>
      <w:r>
        <w:rPr>
          <w:rStyle w:val="FootnoteReference"/>
        </w:rPr>
        <w:footnoteReference w:id="4"/>
      </w:r>
      <w:r>
        <w:t xml:space="preserve"> One could add that, according to the Christian view of Jesus, he himself realized that this was the case ahead of time and, though fearing the cross, endured it willingly to fulfill divine purposes and even to bring about “the joy that was set before him” (Heb. 12:2).</w:t>
      </w:r>
    </w:p>
    <w:p w:rsidR="002E5374" w:rsidRDefault="002E5374">
      <w:r>
        <w:tab/>
        <w:t>Christianity also emphatically answers the question of whether God is revealably good by its declaration that God has affirmatively demonstrated his love for man by sending his son to die, despite human sinfulness (Rom. 5:7-10). This is an act that we can understand as an instance of great goodness. Christianity asserts that Jesus himself has revealed the axiological greatness and goodness of God the Father (the glory of God), so that we who might otherwise be unable to understand God can know much more about him (John 1:18). And Jesus’ personal willingness to die for us is a manifestation of God’s goodness and love (John 10:11, 15:13). Christianity claims that the coming of Jesus drew aside, to a significant degree, the veil of mystery surrounding God and his purposes for us, while at the same time promising yet further understanding in the afterlife (I Cor. 13:12, I John 3:2). The core commitments of Christianity thus strongly contradict the idea that God is so far above us, so completely different from us, that we have no idea what his goodness and love would look like, making divine goodness empirically equivalent to its absence.</w:t>
      </w:r>
    </w:p>
    <w:p w:rsidR="002E5374" w:rsidRDefault="002E5374"/>
    <w:p w:rsidR="002E5374" w:rsidRPr="00AD70AC" w:rsidRDefault="002E5374">
      <w:pPr>
        <w:rPr>
          <w:u w:val="single"/>
        </w:rPr>
      </w:pPr>
      <w:r>
        <w:rPr>
          <w:u w:val="single"/>
        </w:rPr>
        <w:t>4</w:t>
      </w:r>
      <w:r w:rsidRPr="00AD70AC">
        <w:rPr>
          <w:u w:val="single"/>
        </w:rPr>
        <w:t xml:space="preserve">. Evidence for Christianity as Evidence for </w:t>
      </w:r>
      <w:r>
        <w:rPr>
          <w:u w:val="single"/>
        </w:rPr>
        <w:t>Omni-</w:t>
      </w:r>
      <w:r w:rsidRPr="00AD70AC">
        <w:rPr>
          <w:u w:val="single"/>
        </w:rPr>
        <w:t>Theism</w:t>
      </w:r>
    </w:p>
    <w:p w:rsidR="002E5374" w:rsidRDefault="002E5374">
      <w:r>
        <w:tab/>
      </w:r>
    </w:p>
    <w:p w:rsidR="002E5374" w:rsidRDefault="002E5374">
      <w:r>
        <w:t xml:space="preserve">As Benton et. al. briefly note (p. 10), Christianity itself takes on far more specific commitments than mere theism, meaning that its prior probability must necessarily be lower than that of mere theism. This same point applies to the comparative posterior probabilities of Christian theism and mere theism, as in any case where A (here, Christian theism) entails B (here, mere theism) but not </w:t>
      </w:r>
      <w:r w:rsidRPr="006E335B">
        <w:rPr>
          <w:i/>
          <w:iCs/>
        </w:rPr>
        <w:t>vice versa</w:t>
      </w:r>
      <w:r>
        <w:t xml:space="preserve"> and where we are considering A and B against the same body of data. </w:t>
      </w:r>
    </w:p>
    <w:p w:rsidR="002E5374" w:rsidRDefault="002E5374" w:rsidP="004A393E">
      <w:pPr>
        <w:ind w:firstLine="720"/>
      </w:pPr>
      <w:r>
        <w:t>If Christianity were being developed</w:t>
      </w:r>
      <w:r w:rsidRPr="006E335B">
        <w:rPr>
          <w:i/>
          <w:iCs/>
        </w:rPr>
        <w:t xml:space="preserve"> merely</w:t>
      </w:r>
      <w:r>
        <w:t xml:space="preserve"> in response to our observation of evil in the world, this probabilistic point could be highly problematic for Christian theism. It can easily happen that a given piece of evidence disconfirms what we might call an “umbrella hypothesis” while confirming a subhypothesis thereof, but that in the posterior probability distribution a proposition that is much more probable than .5 entails the negation of both. This would be the case concerning theism and evil if Christianity were confirmed by evil but nonetheless the posterior P(T|E) &lt;&lt; .5, with P(C|E) being necessarily even lower.</w:t>
      </w:r>
    </w:p>
    <w:p w:rsidR="002E5374" w:rsidRDefault="002E5374" w:rsidP="004A393E">
      <w:pPr>
        <w:ind w:firstLine="720"/>
      </w:pPr>
      <w:r>
        <w:t xml:space="preserve">This probabilistic situation is well illustrated by blatantly </w:t>
      </w:r>
      <w:r w:rsidRPr="006E335B">
        <w:rPr>
          <w:i/>
          <w:iCs/>
        </w:rPr>
        <w:t>ad hoc</w:t>
      </w:r>
      <w:r>
        <w:t xml:space="preserve"> propositions and/or conspiracy theories. Suppose that we have video evidence ostensibly showing men landing on the moon, as well as extensive documents detailing human moon landings. This evidence massively confirms the proposition, “Man has landed on the moon” and therefore massively disconfirms the proposition “Man has not landed on the moon,” since these two options cover all of the possibilities. In the posterior distribution induced by the moon landing evidence, the proposition “Man has landed on the moon” has a very high probability, while its negation has a very low probability. However, much of the (now very small) probability of the negation is, conditional on the moon landing evidence, occupied by a conspiracy theory, roughly, “Man has not landed on the moon and there has been a massive conspiracy to make it appear that man has landed on the moon.” This </w:t>
      </w:r>
      <w:r w:rsidRPr="006E335B">
        <w:rPr>
          <w:i/>
          <w:iCs/>
        </w:rPr>
        <w:t>ad hoc</w:t>
      </w:r>
      <w:r>
        <w:t xml:space="preserve"> conspiracy theory is actually </w:t>
      </w:r>
      <w:r w:rsidRPr="006E335B">
        <w:rPr>
          <w:i/>
          <w:iCs/>
        </w:rPr>
        <w:t xml:space="preserve">confirmed </w:t>
      </w:r>
      <w:r>
        <w:t>by the moon landing evidence. Prior to our having moon landing evidence, there is no need to hypothesize such a conspiracy, even if one thinks that no moon landing has taken place. Therefore, both “Man has landed on the moon” and “Man has not landed on the moon and there has been a massive conspiracy to make it appear that man has landed on the moon” are confirmed by the moon landing evidence. But the fact remains that, in the final distribution, conditional on the moon landing evidence, the proposition “Man has landed on the moon” is overwhelmingly probable while the conspiracy theory is overwhelmingly improbable. Thus, the confirmation of a conspiracy theory by the moon landing evidence is of interest only in the philosophical consideration of empirical equivalence and Cartesian deceiver hypotheses such as I have examined elsewhere (L. McGrew, 2018b), but it does not amount to good news for the posterior probability of the conspiracy hypothesis.</w:t>
      </w:r>
    </w:p>
    <w:p w:rsidR="002E5374" w:rsidRDefault="002E5374" w:rsidP="004A393E">
      <w:pPr>
        <w:ind w:firstLine="720"/>
      </w:pPr>
      <w:r>
        <w:t xml:space="preserve">The bare statement that Christianity could be confirmed by evil while generic theism is disconfirmed, or (even more modestly) that Christianity could be confirmed by </w:t>
      </w:r>
      <w:r w:rsidRPr="000E25F1">
        <w:rPr>
          <w:i/>
          <w:iCs/>
        </w:rPr>
        <w:t>some</w:t>
      </w:r>
      <w:r>
        <w:t xml:space="preserve"> evils and disconfirmed </w:t>
      </w:r>
      <w:r w:rsidRPr="000A63CB">
        <w:rPr>
          <w:i/>
          <w:iCs/>
        </w:rPr>
        <w:t>less</w:t>
      </w:r>
      <w:r>
        <w:t xml:space="preserve"> overall by evil than generic theism does not amount to much, if this is the probabilistic situation. </w:t>
      </w:r>
    </w:p>
    <w:p w:rsidR="002E5374" w:rsidRDefault="002E5374" w:rsidP="004A393E">
      <w:pPr>
        <w:ind w:firstLine="720"/>
      </w:pPr>
      <w:r>
        <w:t xml:space="preserve">This point is a concern if we are considering Christianity </w:t>
      </w:r>
      <w:r w:rsidRPr="000E25F1">
        <w:t>only</w:t>
      </w:r>
      <w:r>
        <w:t xml:space="preserve"> in relation to the observation of evil, but that concern brings us to another important way in which Christian theism is superior to mere theism in answering an evidential problem of evil. While benefiting probabilistically from most or all of the standard theistic arguments (e.g., various cosmological arguments, the argument from mind, the argument from design, and so forth), Christianity also claims to be supported by more specific evidence for its richer body of doctrine. These include arguments from fulfilled prophecy, arguments for Jesus’ miracles and, most notably, for his resurrection. Another more specific argument for Judeo-Christianity is Pascal’s argument from the dual nature of man—capable of both great goodness and great evil—which supports the Judeo-Christian hypothesis that man is made in the image of God but has fallen from his first estate (</w:t>
      </w:r>
      <w:r>
        <w:rPr>
          <w:i/>
          <w:iCs/>
        </w:rPr>
        <w:t>Pensée</w:t>
      </w:r>
      <w:r w:rsidRPr="000B2777">
        <w:rPr>
          <w:i/>
          <w:iCs/>
        </w:rPr>
        <w:t>s</w:t>
      </w:r>
      <w:r>
        <w:t>, 430). The evidence from Acts and Paul’s epistles for a supernatural explanation of the conversion of Paul supports both Christianity more broadly and the idea that Paul himself was a divinely accredited teacher. Evidence for the reliability of the Gospels, with their detailed records of Jesus’ teachings, also supports the idea that Jesus really taught specific things. That content in turn would be supported by his resurrection; hence, this evidence would work in tandem with arguments for the resurrection and/or other miracles of Jesus to fill out the relevant doctrinal content.</w:t>
      </w:r>
      <w:r>
        <w:rPr>
          <w:rStyle w:val="FootnoteReference"/>
        </w:rPr>
        <w:footnoteReference w:id="5"/>
      </w:r>
    </w:p>
    <w:p w:rsidR="002E5374" w:rsidRDefault="002E5374" w:rsidP="004A393E">
      <w:pPr>
        <w:ind w:firstLine="720"/>
      </w:pPr>
      <w:r>
        <w:t>It is, of course, beyond the scope of this paper to show that these arguments for Christian theism are cogent, though I have argued elsewhere in defense of veridical messianic death prophecies, of Jesus’ resurrection, and of the reliability of the Gospels and Acts (T. McGrew and L. McGrew, 2009, L. McGrew 2013a, L. McGrew 2017, L. McGrew 2019, L. McGrew 2021, L. McGrew 2023). Suffice it to say here that Christianity does not bear the marks of being evolved in human minds merely to help theism deal with the existence of evil. Rather, it presents itself as a strongly historical religion developed in response to specific historical evidence which, in turn, confirms the self-understanding and teachings of Jesus and of his appointed apostles as messengers from God.</w:t>
      </w:r>
    </w:p>
    <w:p w:rsidR="002E5374" w:rsidRDefault="002E5374" w:rsidP="004A393E">
      <w:pPr>
        <w:ind w:firstLine="720"/>
      </w:pPr>
      <w:r>
        <w:t xml:space="preserve">But one might wonder: </w:t>
      </w:r>
      <w:r w:rsidRPr="008F175A">
        <w:rPr>
          <w:i/>
          <w:iCs/>
        </w:rPr>
        <w:t>Can</w:t>
      </w:r>
      <w:r>
        <w:t xml:space="preserve"> arguments for a highly specific proposition (which entails a less specific proposition) overcome the lower prior probability induced by such specific theoretical commitments? We can see that in principle this is possible and in fact often happens. Consider the general proposition, “Some Englishmen are good cooks,” which is true if there exists even </w:t>
      </w:r>
      <w:r w:rsidRPr="00563F6A">
        <w:rPr>
          <w:i/>
          <w:iCs/>
        </w:rPr>
        <w:t>one</w:t>
      </w:r>
      <w:r>
        <w:t xml:space="preserve"> Englishman who is a good cook. Compare that to the specific proposition, “Ian is a good cook.” Ian, let us say, is individually defined by being an Englishman and by other specific properties, including his name, the fact that he lives at such-and-such an address (he is my next-door neighbor), that he is about forty years old, and that his wife’s name is Ann. To assert that Ian exists, then, involves one in far more specific commitments than merely to say that some Englishman or other exists. And to believe that Ian both exists and is a good cook is, </w:t>
      </w:r>
      <w:r w:rsidRPr="00403489">
        <w:rPr>
          <w:i/>
          <w:iCs/>
        </w:rPr>
        <w:t>ipso facto</w:t>
      </w:r>
      <w:r>
        <w:t xml:space="preserve">, to hold a more specific and hence strictly less probable view than the view that </w:t>
      </w:r>
      <w:r w:rsidRPr="00563F6A">
        <w:rPr>
          <w:i/>
          <w:iCs/>
        </w:rPr>
        <w:t>some</w:t>
      </w:r>
      <w:r>
        <w:t xml:space="preserve"> Englishman exists and is a good cook.</w:t>
      </w:r>
    </w:p>
    <w:p w:rsidR="002E5374" w:rsidRDefault="002E5374" w:rsidP="004A393E">
      <w:pPr>
        <w:ind w:firstLine="720"/>
      </w:pPr>
      <w:r>
        <w:t>But the evidential advantages of knowing Ian, in support of the conclusion about an English good cook, can nonetheless be overwhelming. Suppose that Ian provides me with extensive evidence that he is English. And suppose that he and Ann often have me over for meals, which I am able to watch Ian cook himself, which are delicious. These include traditional English dishes like roast beef with Yorkshire pudding. To be sure, I can make use of this evidence for “Some Englishmen are good cooks” only if I accept that Ian, specifically, exists. But the posterior situation for “Some Englishmen are good cooks,” conditional on the evidence about Ian, is far better than it would be conditional only on considerations that bring no specific Englishman into view. The truism that the probability of “Some Englishmen are good cooks” in the posterior distribution is greater than “Ian is a good cook” becomes trivial once we realize that both posterior probabilities are extremely high and that the evidence about Ian is tremendously helpful to the more general conclusion.</w:t>
      </w:r>
    </w:p>
    <w:p w:rsidR="002E5374" w:rsidRDefault="002E5374" w:rsidP="004A393E">
      <w:pPr>
        <w:ind w:firstLine="720"/>
      </w:pPr>
      <w:r>
        <w:t xml:space="preserve">The importance of the information about Ian is easy to see in a case where there is evidence </w:t>
      </w:r>
      <w:r w:rsidRPr="001C4DC3">
        <w:rPr>
          <w:i/>
          <w:iCs/>
        </w:rPr>
        <w:t>against</w:t>
      </w:r>
      <w:r>
        <w:t xml:space="preserve"> “Some Englishmen are good cooks.” Suppose that, prior to knowing Ian, I had evidence that no Englishmen are good cooks. I have had, let’s say, a uniform prior inductive experience of Englishmen who cook badly and of unappetizing food characterized to me as typically English fare. I also have friends who have traveled to England and have personally known Englishmen who try to cook, and their experience is the same as mine, even though they have visited different locations from the ones I have visited. My new evidence about Ian, then, is dramatically different from all of this prior evidence. Moreover, with this evidence, to say that Ian is a good cook is not </w:t>
      </w:r>
      <w:r w:rsidRPr="001C4DC3">
        <w:rPr>
          <w:i/>
          <w:iCs/>
        </w:rPr>
        <w:t>ad ho</w:t>
      </w:r>
      <w:r>
        <w:rPr>
          <w:i/>
          <w:iCs/>
        </w:rPr>
        <w:t xml:space="preserve">c </w:t>
      </w:r>
      <w:r w:rsidRPr="001037AB">
        <w:t>in any sense</w:t>
      </w:r>
      <w:r>
        <w:rPr>
          <w:i/>
          <w:iCs/>
        </w:rPr>
        <w:t xml:space="preserve">. </w:t>
      </w:r>
      <w:r w:rsidRPr="001C4DC3">
        <w:t>I</w:t>
      </w:r>
      <w:r>
        <w:t xml:space="preserve"> am not adopting the proposition that Ian is a good cook merely as a theoretical auxiliary to bolster the proposition that some Englishmen are good cooks and/or to avoid admitting that it is disconfirmed by my other evidence (L. McGrew 2014). Rather, I have direct evidence that Ian, specifically, is a good cook, which is evidence that at least one Englishman is a good cook. </w:t>
      </w:r>
    </w:p>
    <w:p w:rsidR="002E5374" w:rsidRDefault="002E5374" w:rsidP="004A393E">
      <w:pPr>
        <w:ind w:firstLine="720"/>
      </w:pPr>
      <w:r>
        <w:t xml:space="preserve">It is easy to overestimate the disadvantages and underestimate the advantages of specific religious claims in the context of the philosophy of religion, where we are so used to doing </w:t>
      </w:r>
      <w:r w:rsidRPr="006A1BBC">
        <w:rPr>
          <w:i/>
          <w:iCs/>
        </w:rPr>
        <w:t>a priori</w:t>
      </w:r>
      <w:r>
        <w:t xml:space="preserve"> theorizing.</w:t>
      </w:r>
      <w:r>
        <w:rPr>
          <w:rStyle w:val="FootnoteReference"/>
        </w:rPr>
        <w:footnoteReference w:id="6"/>
      </w:r>
      <w:r>
        <w:t xml:space="preserve"> If there is strong evidence </w:t>
      </w:r>
      <w:r w:rsidRPr="008F175A">
        <w:rPr>
          <w:i/>
          <w:iCs/>
        </w:rPr>
        <w:t>via</w:t>
      </w:r>
      <w:r>
        <w:t xml:space="preserve"> history that the God whom Jesus proclaimed is omniscient, omnipotent, and omnibenevolent, and that this God exists, and if Christianity also has resources from special revelation that help to explain the presence of various evils in the world, this will be very helpful to the theist in answering the evidential problem of evil.</w:t>
      </w:r>
    </w:p>
    <w:p w:rsidR="002E5374" w:rsidRDefault="002E5374" w:rsidP="005A7BC7"/>
    <w:p w:rsidR="002E5374" w:rsidRPr="00403489" w:rsidRDefault="002E5374" w:rsidP="005A7BC7">
      <w:pPr>
        <w:rPr>
          <w:u w:val="single"/>
        </w:rPr>
      </w:pPr>
      <w:r>
        <w:rPr>
          <w:u w:val="single"/>
        </w:rPr>
        <w:t xml:space="preserve">5. </w:t>
      </w:r>
      <w:r w:rsidRPr="00403489">
        <w:rPr>
          <w:u w:val="single"/>
        </w:rPr>
        <w:t>The last holdout: Disconfirmation and a recalcitrant</w:t>
      </w:r>
      <w:r>
        <w:rPr>
          <w:u w:val="single"/>
        </w:rPr>
        <w:t xml:space="preserve"> class of evils</w:t>
      </w:r>
    </w:p>
    <w:p w:rsidR="002E5374" w:rsidRDefault="002E5374" w:rsidP="005A7BC7"/>
    <w:p w:rsidR="002E5374" w:rsidRDefault="002E5374" w:rsidP="004A393E">
      <w:pPr>
        <w:ind w:firstLine="720"/>
      </w:pPr>
      <w:r>
        <w:t>The independent evidence for Christianity is particularly important because there remains a specific class of evils that is difficult to account for even within the context of Christian doctrine. If indeed (as I suspect is the case) this class of evils does disconfirm Christianity to some degree, it is necessary for Christianity to have sufficient independent evidence going for it that it can “take the hit” of this disconfirmation. We can, to some extent, divide and conquer when it comes to classes of evils. A free-will theodicy and the need for freedom to be causally effective, without constant divine micromanaging, is relevant to moral evils and their horrific effects. A soul-making theodicy is relevant to many classes of evils and even to the victims of moral evils. The notion that humans have a special status with God (being made in his image) and that non-human animals do not, while not making sheer cruelty to animals morally permissible (Prov. 12:10) nonetheless lowers the urgency of natural animal suffering so that other concepts (such as the effects on creation of the fall of Satan and the fall of man, the value of a backdrop of natural laws, together with God’s intention to redeem non-human creation in the end) may be adequate to address animal suffering. But even after one has done all of that, a recalcitrant class of evils remains.</w:t>
      </w:r>
    </w:p>
    <w:p w:rsidR="002E5374" w:rsidRDefault="002E5374" w:rsidP="004A393E">
      <w:pPr>
        <w:ind w:firstLine="720"/>
      </w:pPr>
      <w:r>
        <w:t xml:space="preserve">Here I am referring to the suffering and death (whether due to natural events or to the actions of wicked people) of human beings who are too young or mentally disabled, </w:t>
      </w:r>
      <w:r w:rsidRPr="00DC281E">
        <w:rPr>
          <w:i/>
          <w:iCs/>
        </w:rPr>
        <w:t>prima facie</w:t>
      </w:r>
      <w:r>
        <w:t>, to profit from the soul-making value of suffering or even to believe in God and love him.</w:t>
      </w:r>
    </w:p>
    <w:p w:rsidR="002E5374" w:rsidRDefault="002E5374" w:rsidP="004A393E">
      <w:pPr>
        <w:ind w:firstLine="720"/>
      </w:pPr>
      <w:r>
        <w:t>One reason why this class of evil is recalcitrant is that the question of whether babies go to heaven when they die is not explicitly addressed even in the canonical books. Jesus implies punishment for those who harm them (Mark 9:42), urges his disciples not to despise them (Matt. 18:10), since “their angels” behold the face of God, and tells his disciples to let the little children come to him, for of such is the kingdom of heaven (Mark 10:14). These sayings do imply that God cares specifically for children and those whose understanding is childlike, who might otherwise be despised or ignored by the world. It is hopeful as far as it goes, but it doesn’t tell us how God can have a benign purpose in the sufferings and death, in this life, of children too young to understand anything, nor what afterlife God offers them.</w:t>
      </w:r>
      <w:r>
        <w:rPr>
          <w:rStyle w:val="FootnoteReference"/>
        </w:rPr>
        <w:footnoteReference w:id="7"/>
      </w:r>
    </w:p>
    <w:p w:rsidR="002E5374" w:rsidRDefault="002E5374" w:rsidP="004A393E">
      <w:pPr>
        <w:ind w:firstLine="720"/>
      </w:pPr>
      <w:r>
        <w:t xml:space="preserve">Matters are even more difficult for philosophers who take on (as I do) the view that a) human beings at all ages and stages of development or mental ability, including infants, the unborn, and those suffering profound cognitive disability, are persons and b) persons should always be treated as ends in themselves, never merely as means to an end. Hence, even if God might use the suffering of an innocent to serve some benevolent purpose in the lives of </w:t>
      </w:r>
      <w:r w:rsidRPr="00250AD0">
        <w:rPr>
          <w:i/>
          <w:iCs/>
        </w:rPr>
        <w:t>other</w:t>
      </w:r>
      <w:r>
        <w:t xml:space="preserve"> people, the question still remains whether he loves the child or mentally disabled person as an individual, as opposed to treating him merely as soul-making cannon fodder for the sake of someone else. If an omnibenevolent God must love all men as individual persons, not just the human race and other sapient races writ large, these are hard cases that have to be faced.</w:t>
      </w:r>
      <w:r>
        <w:rPr>
          <w:rStyle w:val="FootnoteReference"/>
        </w:rPr>
        <w:footnoteReference w:id="8"/>
      </w:r>
    </w:p>
    <w:p w:rsidR="002E5374" w:rsidRDefault="002E5374" w:rsidP="004A393E">
      <w:pPr>
        <w:ind w:firstLine="720"/>
      </w:pPr>
      <w:r>
        <w:t xml:space="preserve">Of course, Christianity does not </w:t>
      </w:r>
      <w:r w:rsidRPr="00EA182A">
        <w:rPr>
          <w:i/>
          <w:iCs/>
        </w:rPr>
        <w:t>introduce</w:t>
      </w:r>
      <w:r>
        <w:t xml:space="preserve"> these recalcitrant cases. They are there already as one class of the evils that make up the evidential problem of evil. One certainly need not be a Christian to hold that an omnibenevolent God must love each individual human being and should not take a consequentialist view of the suffering of young children and the mentally disabled.</w:t>
      </w:r>
    </w:p>
    <w:p w:rsidR="002E5374" w:rsidRDefault="002E5374" w:rsidP="004A393E">
      <w:pPr>
        <w:ind w:firstLine="720"/>
      </w:pPr>
      <w:r>
        <w:t>It’s true that we can construct scenarios that address these cases. In the afterlife, it may be that God gives such persons sufficient development, physical and mental, both to choose and to enjoy fully their union with himself. Perhaps God makes their past suffering worthwhile by offering them the opportunity at death or in the afterlife to love him, to retroactively accept that suffering, and to receive its benefits.</w:t>
      </w:r>
      <w:r>
        <w:rPr>
          <w:rStyle w:val="FootnoteReference"/>
        </w:rPr>
        <w:footnoteReference w:id="9"/>
      </w:r>
      <w:r>
        <w:t xml:space="preserve"> He might give to them an increased “weight of glory” in view of their previous sufferings, as the Apostle Paul says is given to believers (2 Cor. 4:17). And, as with others who have suffered in this life, the joys of union with God would make even the greatest suffering in this life seem small in comparison. These scenarios are in keeping with the Christian doctrines already discussed; arguably, they are an extrapolation of these doctrines to these hard cases.</w:t>
      </w:r>
      <w:r>
        <w:rPr>
          <w:rStyle w:val="FootnoteReference"/>
        </w:rPr>
        <w:footnoteReference w:id="10"/>
      </w:r>
    </w:p>
    <w:p w:rsidR="002E5374" w:rsidRDefault="002E5374" w:rsidP="004A393E">
      <w:pPr>
        <w:ind w:firstLine="720"/>
      </w:pPr>
      <w:r>
        <w:t xml:space="preserve">But it must be admitted that, formally speaking, the adoption of these scenarios is at least somewhat </w:t>
      </w:r>
      <w:r w:rsidRPr="00BE2F9A">
        <w:rPr>
          <w:i/>
          <w:iCs/>
        </w:rPr>
        <w:t>ad hoc</w:t>
      </w:r>
      <w:r>
        <w:t xml:space="preserve">, in the sense that there is, at most, indirect evidence for them, even within Christian revelation, and that they are adopted specifically in response to the disconfirmation brought about by this class of evils. I have argued elsewhere (L. McGrew, 2014) that there is such a thing as purely formal ad hocness which is not evidentially illicit. This formal or benign ad hocness occurs when one admits that a given piece of evidence disconfirms an hypothesis (in this case, Christian theism). The formally </w:t>
      </w:r>
      <w:r w:rsidRPr="00245A08">
        <w:rPr>
          <w:i/>
          <w:iCs/>
        </w:rPr>
        <w:t>ad hoc</w:t>
      </w:r>
      <w:r>
        <w:t xml:space="preserve"> auxiliary hypothesis is not adopted in an attempt to avoid admitting disconfirmation. If one adopts such a benign </w:t>
      </w:r>
      <w:r w:rsidRPr="00245A08">
        <w:rPr>
          <w:i/>
          <w:iCs/>
        </w:rPr>
        <w:t>ad hoc</w:t>
      </w:r>
      <w:r>
        <w:t xml:space="preserve"> auxiliary, while continuing to hold the larger theory, one should be prepared to argue that the disconfirmed hypothesis has enough independent evidence in its favor that its posterior probability remains high even after it “takes the hit” of the disconfirming evidence that forces one back upon the auxiliary. In this sense, theological views, like scientific views, are capable of accommodating the evidential square pegs in round holes that are virtually inevitable for any wide-ranging theory, while not abandoning an otherwise well-evidenced view.</w:t>
      </w:r>
    </w:p>
    <w:p w:rsidR="002E5374" w:rsidRDefault="002E5374" w:rsidP="004A393E">
      <w:pPr>
        <w:ind w:firstLine="720"/>
      </w:pPr>
      <w:r>
        <w:t>Of course, the question of whether Christianity is sufficiently supported to remain highly probable despite disconfirmation from this class of hard cases depends entirely on the strength of the other evidence for it. For purposes of this paper, I merely point out that these hard cases are there already for generic, traditional theism, and that Christianity, through its teachings about redemption, the afterlife, the beatific vision, and God’s care for the weak and helpless, at least offers more hope of answering them than a view on which God might (for all we know) be distant and uninvolved in the lives and welfare of individual persons. Moreover, since Christianity can avail itself of other arguments for theism while bringing to the table additional arguments that support theism by supporting Christianity, it holds out more hope formally that theism can survive some disconfirmation while remaining highly probable.</w:t>
      </w:r>
    </w:p>
    <w:p w:rsidR="002E5374" w:rsidRDefault="002E5374" w:rsidP="008656C6"/>
    <w:p w:rsidR="002E5374" w:rsidRPr="008656C6" w:rsidRDefault="002E5374" w:rsidP="008656C6">
      <w:pPr>
        <w:rPr>
          <w:u w:val="single"/>
        </w:rPr>
      </w:pPr>
      <w:r>
        <w:rPr>
          <w:u w:val="single"/>
        </w:rPr>
        <w:t xml:space="preserve">6. </w:t>
      </w:r>
      <w:r w:rsidRPr="008656C6">
        <w:rPr>
          <w:u w:val="single"/>
        </w:rPr>
        <w:t>An excuse for apathy?</w:t>
      </w:r>
    </w:p>
    <w:p w:rsidR="002E5374" w:rsidRPr="00713772" w:rsidRDefault="002E5374" w:rsidP="008656C6">
      <w:pPr>
        <w:ind w:firstLine="720"/>
        <w:jc w:val="both"/>
      </w:pPr>
    </w:p>
    <w:p w:rsidR="002E5374" w:rsidRDefault="002E5374" w:rsidP="004A393E">
      <w:pPr>
        <w:ind w:firstLine="720"/>
      </w:pPr>
      <w:r>
        <w:t>A further objection arises at this point. If we adopt the suggestion in the previous section about the sufferings of innocents who cannot profit in this life, have we satisfied a Kantian notion of God’s relationship to all persons at the cost of introducing an inconsistency within Christianity itself, as well as a conclusion that is intrinsically problematic—namely, that we ourselves have no duty to prevent or ameliorate suffering when we easily could do so?</w:t>
      </w:r>
      <w:r>
        <w:rPr>
          <w:rStyle w:val="FootnoteReference"/>
        </w:rPr>
        <w:footnoteReference w:id="11"/>
      </w:r>
      <w:r>
        <w:t xml:space="preserve"> </w:t>
      </w:r>
    </w:p>
    <w:p w:rsidR="002E5374" w:rsidRDefault="002E5374" w:rsidP="004A393E">
      <w:pPr>
        <w:ind w:firstLine="720"/>
      </w:pPr>
      <w:r>
        <w:t>The argument for the objection goes approximately like this: If the Christian God treats each person as an end rather than (merely) as a means, and if God therefore offers at least the opportunity for any suffering to be used for the best good of the sufferer, then, by preventing or relieving suffering, we are depriving other persons of the opportunity to profit from it. Since the Judeo-Christian Scriptures, including the teachings of Jesus, contain injunctions to do good and to help others (e.g., Matt. 25:31-46), such a conclusion would create an internal inconsistency. Moreover, the idea that we have no duty to relieve suffering is (arguably) self-evidently false.</w:t>
      </w:r>
      <w:r>
        <w:tab/>
      </w:r>
    </w:p>
    <w:p w:rsidR="002E5374" w:rsidRDefault="002E5374" w:rsidP="004A393E">
      <w:pPr>
        <w:ind w:firstLine="720"/>
      </w:pPr>
      <w:r>
        <w:t>Fortunately, this objectionable conclusion does not follow from the auxiliary hypothesis about God bringing good out of evil for individuals. The set of canonical documents that teaches a duty to do good to others as we are able (Gal. 6:10) also teaches that God’s ability to use evil for some good end of his own in no way excuses the evildoer or the one who neglects his positive duties. Jesus explicitly addresses this point with respect to actively evil behaviors, when he says that his death fulfills prophecy and the plans of God but that it would have been better for the betrayer, Judas, never to have been born (Matt. 26:24). Jesus also says that even though it is practically inevitable that occasions for sinning will occur, the one who brings them about (presumably deliberately) is cursed (Matt. 18:6-7). The Apostle Paul expressly and angrily rejects the idea that we should sin that God’s grace may abound (Rom. 6:1-2). Joseph says to his brothers that they meant their harmful actions for evil but that God used them for good (Gen. 50:20). God tells the prophet Ezekiel that he must discharge his positive duty to be a watchman and to warn the wicked, so that even if the wicked does not turn from his evil ways, and God justly punishes him, the prophet will not be held accountable for the wicked man’s fate (Ez. 33:1-9). In Jesus’ parable of the rich man and Lazarus, Lazarus receives compensation in the afterlife for his sufferings, while the rich man is punished, apparently for (</w:t>
      </w:r>
      <w:r w:rsidRPr="00FD4AA8">
        <w:rPr>
          <w:i/>
          <w:iCs/>
        </w:rPr>
        <w:t>inter alia</w:t>
      </w:r>
      <w:r>
        <w:t>) failing to help to relieve those very sufferings (Luke 16:19-31).</w:t>
      </w:r>
    </w:p>
    <w:p w:rsidR="002E5374" w:rsidRDefault="002E5374" w:rsidP="00CC6DBE">
      <w:r>
        <w:tab/>
        <w:t xml:space="preserve">This position is also intuitively plausible. If we take human freedom with great seriousness, we can hold that God offers only the </w:t>
      </w:r>
      <w:r w:rsidRPr="00EF6F1F">
        <w:rPr>
          <w:i/>
          <w:iCs/>
        </w:rPr>
        <w:t>opportunity</w:t>
      </w:r>
      <w:r>
        <w:t xml:space="preserve"> for a person to benefit from suffering, not that he coerces the person into accepting that opportunity. This could be true as well in the case of some opportunity offered at or after death. In some cases, persons do not accept this opportunity; instead they respond with bitterness, rejecting God and hardening their own hearts. If we ourselves could easily have prevented that self-hardening by not causing that suffering, or by preventing or lessening it, and if we did not do so, we would seem to be in the position of the person to whom Jesus refers when he says, “I</w:t>
      </w:r>
      <w:r w:rsidRPr="003974A1">
        <w:t>t is necessary that temptations come, but woe to the one by whom the temptation comes!</w:t>
      </w:r>
      <w:r>
        <w:t>” (Matt. 18:7, ESV).</w:t>
      </w:r>
    </w:p>
    <w:p w:rsidR="002E5374" w:rsidRDefault="002E5374" w:rsidP="004A393E">
      <w:pPr>
        <w:ind w:firstLine="720"/>
      </w:pPr>
      <w:r>
        <w:t xml:space="preserve">We are not entitled to assume that our own negligence or evil-doing is going to bring about a good result for the person to whom we had a positive duty, whose need we ignored, or whom we actively harmed. We lack the power, the knowledge, and the goodness of God, and we are not in a position to guarantee others eternal bliss and perfect fulfillment of their metaphysical reason for existing. We are therefore obligated, as much as lies in us, to do good to all men, as Paul says (Gal. 6:10). Therefore, given Christian theism, the auxiliary hypothesis that God extends, to those incapacitated or too young in this life, the opportunity ultimately to profit from their sufferings does not imply the absence of negative and positive obligations in relation to suffering. </w:t>
      </w:r>
    </w:p>
    <w:p w:rsidR="002E5374" w:rsidRDefault="002E5374" w:rsidP="004A393E">
      <w:pPr>
        <w:ind w:firstLine="720"/>
      </w:pPr>
    </w:p>
    <w:p w:rsidR="002E5374" w:rsidRPr="00B15432" w:rsidRDefault="002E5374" w:rsidP="0097140A">
      <w:pPr>
        <w:rPr>
          <w:u w:val="single"/>
        </w:rPr>
      </w:pPr>
      <w:r>
        <w:rPr>
          <w:u w:val="single"/>
        </w:rPr>
        <w:t xml:space="preserve">7. </w:t>
      </w:r>
      <w:r w:rsidRPr="00B15432">
        <w:rPr>
          <w:u w:val="single"/>
        </w:rPr>
        <w:t>Christian epistemic humility vs. skeptical theism</w:t>
      </w:r>
    </w:p>
    <w:p w:rsidR="002E5374" w:rsidRDefault="002E5374" w:rsidP="0097140A"/>
    <w:p w:rsidR="002E5374" w:rsidRDefault="002E5374" w:rsidP="0097140A">
      <w:r>
        <w:t>Several of the metaphysical and doctrinal points made above, based on the Judeo-Christian canonical books, are relevant to the reasons why God allows both moral and natural evil. Some of these are well-known—e.g., the idea that God values freedom and its significant exercise, leading him to allow many evil actions without (immediately) stepping in to negate their horrific effects. Added to this is the value that God places upon a natural order and upon the physical creation. The idea that God considers it very good that man is a limited and embodied creature helps to explain why both (some) pleasures and (some) pains have biological functions and also why it is good (and perhaps even necessary) for us to grow by striving rather than being created with all possible metaphysical goods automatically bestowed upon us.</w:t>
      </w:r>
      <w:r>
        <w:rPr>
          <w:rStyle w:val="FootnoteReference"/>
        </w:rPr>
        <w:footnoteReference w:id="12"/>
      </w:r>
      <w:r>
        <w:t xml:space="preserve"> Judeo-Christian Scriptures also emphasize the use of miracles as signs, which require a natural backdrop. This gives us some understanding of why, though God sometimes performs miracles (such as rescuing people in danger, healing the sick, or raising the dead) out of compassion, we should not expect that he will step in to do this to the extent that would be necessary in order to reduce greatly the amount of natural and effective moral evil in the world. This provides an answer to the claim that </w:t>
      </w:r>
      <w:r w:rsidRPr="00D7753B">
        <w:rPr>
          <w:i/>
          <w:iCs/>
        </w:rPr>
        <w:t>surely</w:t>
      </w:r>
      <w:r>
        <w:t xml:space="preserve"> a benevolent God would, and should, now take away freedom and responsibility from those of his creatures who have gravely abused it (Draper 1989, pp. 344-345). But at the same time, Christianity recognizes the importance of ultimate cosmic justice and promises that such justice will be done and that evildoers (human and demonic) will not be permitted to harm the innocent indefinitely. In other words, Christianity presents an entire </w:t>
      </w:r>
      <w:r w:rsidRPr="006C2FE7">
        <w:t>view of the world</w:t>
      </w:r>
      <w:r>
        <w:t>, of where we come from, of what we exist for, and of how it’s all going to end, in which evil has both an explanation and an answer.</w:t>
      </w:r>
    </w:p>
    <w:p w:rsidR="002E5374" w:rsidRDefault="002E5374" w:rsidP="0097140A">
      <w:r>
        <w:tab/>
        <w:t xml:space="preserve">But it is just here that we come up against the fact that such theodicies, even if attested and supported by independent evidence for the Christian worldview, will likely seem insufficient to many objectors. It is always possible to ask further metaphysical questions. Just </w:t>
      </w:r>
      <w:r w:rsidRPr="0097140A">
        <w:rPr>
          <w:i/>
          <w:iCs/>
        </w:rPr>
        <w:t>how</w:t>
      </w:r>
      <w:r>
        <w:t xml:space="preserve"> does human suffering in this life produce an increase of glory and joy in an afterlife? Why doesn’t God just give everyone a maximally wonderful afterlife, without any suffering? How and why is this individual benefited more by continuing to suffer than by being healed in this life? H</w:t>
      </w:r>
      <w:r w:rsidRPr="0097140A">
        <w:t>ow</w:t>
      </w:r>
      <w:r>
        <w:t xml:space="preserve"> does God decide </w:t>
      </w:r>
      <w:r w:rsidRPr="006C2FE7">
        <w:rPr>
          <w:i/>
          <w:iCs/>
        </w:rPr>
        <w:t>how long</w:t>
      </w:r>
      <w:r>
        <w:t xml:space="preserve"> to wait before bringing an apocalyptic end to suffering, sin, and death and binding the evildoers? In the meanwhile, </w:t>
      </w:r>
      <w:r w:rsidRPr="006C2FE7">
        <w:rPr>
          <w:i/>
          <w:iCs/>
        </w:rPr>
        <w:t>how much</w:t>
      </w:r>
      <w:r>
        <w:t xml:space="preserve"> divine intervention to protect, heal, stop evildoers, etc., would be </w:t>
      </w:r>
      <w:r w:rsidRPr="006C2FE7">
        <w:rPr>
          <w:i/>
          <w:iCs/>
        </w:rPr>
        <w:t>too much</w:t>
      </w:r>
      <w:r>
        <w:t xml:space="preserve"> micromanaging?</w:t>
      </w:r>
    </w:p>
    <w:p w:rsidR="002E5374" w:rsidRDefault="002E5374" w:rsidP="0097140A">
      <w:r>
        <w:tab/>
        <w:t>I suggest that in response to those questions we should be willing to adopt a position of epistemic humility that is not equivalent to the strong skeptical theism that Climenhaga (rightly) criticizes. It is legitimate, on the basis of revealed religion, to say something epistemically modest that is not evidentially skeptical: Evil, both natural and moral, does have an explanation, and is used by God to bring about greater ends. We have various ideas, attested independently to the extent that Christianity itself is attested independently, as to how and why this is the case. However, this understanding only goes so far. It does not mean that all of our questions will be answered (at least in this life) or that we will understand the mind of God so clearly that we can say, right now, how each given evil is serving his purposes or why he does not reach into nature to help or prevent it. The best we are often able to do, even on the basis of Christian doctrine, is to state a disjunction: God’s reasons are probably this or this or this, or some combination thereof. It is not hard to believe that there are what one might call metaphysical mechanics and calculations involved in the relationship between evil and good, pain and glory, the depths of which we are not qualified to plumb, though we hope (in the words of an old song) to “understand it better by and by” (I Cor. 13:12).</w:t>
      </w:r>
    </w:p>
    <w:p w:rsidR="002E5374" w:rsidRDefault="002E5374" w:rsidP="0097140A">
      <w:r>
        <w:tab/>
        <w:t>This is the last remaining drop of truth in skeptical theism. But this level of ignorance can and should be accommodated while rejecting the sweeping and epistemically paralyzing disclaimer that God is so far above us that we should expect to have no idea why he does what he does or doesn’t do what he doesn’t do.</w:t>
      </w:r>
    </w:p>
    <w:p w:rsidR="002E5374" w:rsidRDefault="002E5374" w:rsidP="00850553"/>
    <w:p w:rsidR="002E5374" w:rsidRPr="001037AB" w:rsidRDefault="002E5374" w:rsidP="00850553">
      <w:pPr>
        <w:rPr>
          <w:u w:val="single"/>
        </w:rPr>
      </w:pPr>
      <w:r>
        <w:rPr>
          <w:u w:val="single"/>
        </w:rPr>
        <w:t xml:space="preserve">8. </w:t>
      </w:r>
      <w:r w:rsidRPr="001037AB">
        <w:rPr>
          <w:u w:val="single"/>
        </w:rPr>
        <w:t>Conclusion</w:t>
      </w:r>
    </w:p>
    <w:p w:rsidR="002E5374" w:rsidRDefault="002E5374" w:rsidP="00850553"/>
    <w:p w:rsidR="002E5374" w:rsidRDefault="002E5374" w:rsidP="00850553">
      <w:r>
        <w:t xml:space="preserve">It should come as no surprise that we cannot avail ourselves of the evidence for Christianity without getting our hands dirty evaluating nitty-gritty historical claims. Christianity, as opposed to mere theism, is intrinsically a historical religion. It centers on the life and death and the alleged miracles and resurrection of a specific person, Jesus of Nazareth, who lived on earth at a specific time some two thousand years ago and who claimed to be the incarnation of Yahweh, who had specially chosen the Jewish people as his own. Presumably this need for historical investigation explains why theists so often attempt to respond to the Problem of Evil without using any premises that depend upon Christianity </w:t>
      </w:r>
      <w:r w:rsidRPr="005A382F">
        <w:rPr>
          <w:i/>
          <w:iCs/>
        </w:rPr>
        <w:t>per se</w:t>
      </w:r>
      <w:r>
        <w:t xml:space="preserve">. As long as we are dealing merely with a logical Problem of Evil, this may be an understandable approach, since the theist needs to show only that the presence of evil in the world does not </w:t>
      </w:r>
      <w:r w:rsidRPr="00200B72">
        <w:rPr>
          <w:i/>
          <w:iCs/>
        </w:rPr>
        <w:t>entail</w:t>
      </w:r>
      <w:r>
        <w:t xml:space="preserve"> the falsehood of traditional theism. But once we are considering to what extent the prevalence and types of evil we observe constitute probabilistic evidence against theism, the probability of more specific versions of theism becomes relevant.</w:t>
      </w:r>
    </w:p>
    <w:p w:rsidR="002E5374" w:rsidRDefault="002E5374" w:rsidP="000C1649">
      <w:r>
        <w:tab/>
        <w:t>One might initially think that the probabilistic cost of asserting a version of theism that includes particular historical claims outweighs the probabilistic help that that version offers in dealing with the Problem of Evil. But the considerations offered here show that evidence supporting a specific subhypothesis of an overarching theory can be sufficiently strong, sufficiently relevant to apparent counterevidence, and sufficiently independent of the attempt to deal with that counterevidence, that it is well worth using in answering that counterevidence. (This point stands in addition to the fact that we should always base our credences on total evidence anyway.) In fact, if we have enough evidence for the specific theory (Christianity, in this case) we can even be in a position to acknowledge a probabilistic “hit” from certain types of evil while still holding that both Christianity and theism (which it entails) are highly probable. All of this suggests that Christianity can more than pay its way, probabilistically, and that the work involved in investigating its claims is well worth doing.</w:t>
      </w:r>
      <w:bookmarkStart w:id="0" w:name="_GoBack"/>
      <w:bookmarkEnd w:id="0"/>
      <w:r>
        <w:br w:type="page"/>
      </w:r>
    </w:p>
    <w:p w:rsidR="002E5374" w:rsidRDefault="002E5374" w:rsidP="000C1649">
      <w:pPr>
        <w:jc w:val="center"/>
      </w:pPr>
      <w:r>
        <w:t>Works Cited</w:t>
      </w:r>
    </w:p>
    <w:p w:rsidR="002E5374" w:rsidRDefault="002E5374" w:rsidP="00AD34D3"/>
    <w:p w:rsidR="002E5374" w:rsidRPr="00A65277" w:rsidRDefault="002E5374" w:rsidP="00AD34D3">
      <w:r w:rsidRPr="00A65277">
        <w:t>Benton,</w:t>
      </w:r>
      <w:r>
        <w:t xml:space="preserve"> M., </w:t>
      </w:r>
      <w:r w:rsidRPr="00A65277">
        <w:t xml:space="preserve">Hawthorne, </w:t>
      </w:r>
      <w:r>
        <w:t xml:space="preserve">J., and </w:t>
      </w:r>
      <w:r w:rsidRPr="00A65277">
        <w:t>Isaacs</w:t>
      </w:r>
      <w:r>
        <w:t>, Y</w:t>
      </w:r>
      <w:r w:rsidRPr="00A65277">
        <w:t>.</w:t>
      </w:r>
      <w:r>
        <w:t xml:space="preserve"> (2016). “</w:t>
      </w:r>
      <w:r w:rsidRPr="00A65277">
        <w:t>Evil and Evidenc</w:t>
      </w:r>
      <w:r>
        <w:t>e,”</w:t>
      </w:r>
      <w:r w:rsidRPr="00A65277">
        <w:t xml:space="preserve"> </w:t>
      </w:r>
      <w:r w:rsidRPr="00A65277">
        <w:rPr>
          <w:i/>
          <w:iCs/>
        </w:rPr>
        <w:t>Oxford Studies in Philosophy of Religion</w:t>
      </w:r>
      <w:r>
        <w:t xml:space="preserve"> 7:</w:t>
      </w:r>
      <w:r w:rsidRPr="00A65277">
        <w:t>1-31.</w:t>
      </w:r>
    </w:p>
    <w:p w:rsidR="002E5374" w:rsidRDefault="002E5374" w:rsidP="00AD34D3">
      <w:pPr>
        <w:pStyle w:val="Default"/>
      </w:pPr>
    </w:p>
    <w:p w:rsidR="002E5374" w:rsidRDefault="002E5374" w:rsidP="00AD34D3">
      <w:pPr>
        <w:pStyle w:val="Default"/>
        <w:rPr>
          <w:sz w:val="23"/>
          <w:szCs w:val="23"/>
        </w:rPr>
      </w:pPr>
      <w:r>
        <w:t>Climenhaga, N. “</w:t>
      </w:r>
      <w:r w:rsidRPr="007A3C82">
        <w:t>If We Can’t Tell What Theism Predicts, We Can’t Tell Whether God Exists: Skeptical Theism and Bayesian Arguments from Evil</w:t>
      </w:r>
      <w:r>
        <w:t xml:space="preserve">,” </w:t>
      </w:r>
      <w:r>
        <w:rPr>
          <w:sz w:val="23"/>
          <w:szCs w:val="23"/>
        </w:rPr>
        <w:t xml:space="preserve">Forthcoming in </w:t>
      </w:r>
      <w:r>
        <w:rPr>
          <w:i/>
          <w:iCs/>
          <w:sz w:val="23"/>
          <w:szCs w:val="23"/>
        </w:rPr>
        <w:t xml:space="preserve">Oxford Studies in Philosophy of Religion </w:t>
      </w:r>
      <w:r>
        <w:rPr>
          <w:sz w:val="23"/>
          <w:szCs w:val="23"/>
        </w:rPr>
        <w:t>(Vol. 11), ed. Lara Buchak and Dean Zimmerman.</w:t>
      </w:r>
    </w:p>
    <w:p w:rsidR="002E5374" w:rsidRDefault="002E5374" w:rsidP="00AD34D3">
      <w:pPr>
        <w:pStyle w:val="Default"/>
        <w:rPr>
          <w:sz w:val="23"/>
          <w:szCs w:val="23"/>
        </w:rPr>
      </w:pPr>
    </w:p>
    <w:p w:rsidR="002E5374" w:rsidRDefault="002E5374" w:rsidP="00AD34D3">
      <w:pPr>
        <w:pStyle w:val="Default"/>
      </w:pPr>
      <w:r>
        <w:t xml:space="preserve">Crisp, T. M. 2009. “On Believing That the Scriptures are Divinely Inspired,” in </w:t>
      </w:r>
      <w:r w:rsidRPr="00EC5ECB">
        <w:rPr>
          <w:i/>
          <w:iCs/>
        </w:rPr>
        <w:t>Analytic Theology: New Essays in the Philosophy of Theology</w:t>
      </w:r>
      <w:r>
        <w:t xml:space="preserve">, 187–213. Edited by Oliver D. Crisp and Michael C. Rea. Oxford University Press. Available at </w:t>
      </w:r>
    </w:p>
    <w:p w:rsidR="002E5374" w:rsidRDefault="002E5374" w:rsidP="00AD34D3">
      <w:pPr>
        <w:pStyle w:val="Default"/>
      </w:pPr>
      <w:hyperlink r:id="rId6" w:history="1">
        <w:r>
          <w:rPr>
            <w:rStyle w:val="Hyperlink"/>
          </w:rPr>
          <w:t>https://thomasmcrisp.com/wp-content/uploads/2017/07/on-believing-that-the-scriptures-are-divinely-inspired.pdf</w:t>
        </w:r>
      </w:hyperlink>
      <w:r>
        <w:t>. Accessed 8/2/25.</w:t>
      </w:r>
    </w:p>
    <w:p w:rsidR="002E5374" w:rsidRDefault="002E5374" w:rsidP="00AD34D3">
      <w:pPr>
        <w:pStyle w:val="Default"/>
      </w:pPr>
    </w:p>
    <w:p w:rsidR="002E5374" w:rsidRPr="00C12C05" w:rsidRDefault="002E5374" w:rsidP="00AD34D3">
      <w:pPr>
        <w:pStyle w:val="Default"/>
      </w:pPr>
      <w:r>
        <w:t xml:space="preserve">Draper, P. (1989). “Pain and Pleasure: An Evidential Problem for Theists,” </w:t>
      </w:r>
      <w:r w:rsidRPr="00C12C05">
        <w:rPr>
          <w:i/>
          <w:iCs/>
        </w:rPr>
        <w:t>Noûs</w:t>
      </w:r>
      <w:r>
        <w:t xml:space="preserve"> 23 (3):331-350.</w:t>
      </w:r>
    </w:p>
    <w:p w:rsidR="002E5374" w:rsidRDefault="002E5374" w:rsidP="00AD34D3"/>
    <w:p w:rsidR="002E5374" w:rsidRPr="00E742CD" w:rsidRDefault="002E5374" w:rsidP="00AD34D3">
      <w:r>
        <w:t>Hendricks, P. (2021).</w:t>
      </w:r>
      <w:r w:rsidRPr="00E742CD">
        <w:t xml:space="preserve"> </w:t>
      </w:r>
      <w:r>
        <w:t>“</w:t>
      </w:r>
      <w:r w:rsidRPr="00E742CD">
        <w:t>We are not in the Dark: Refuting Popular Arg</w:t>
      </w:r>
      <w:r>
        <w:t>uments Against Skeptical Theism,”</w:t>
      </w:r>
      <w:r w:rsidRPr="00E742CD">
        <w:t xml:space="preserve"> </w:t>
      </w:r>
      <w:r w:rsidRPr="00E742CD">
        <w:rPr>
          <w:i/>
          <w:iCs/>
        </w:rPr>
        <w:t>American Philosophical Quarterly</w:t>
      </w:r>
      <w:r w:rsidRPr="00E742CD">
        <w:t xml:space="preserve"> 58 (2):125-134.</w:t>
      </w:r>
    </w:p>
    <w:p w:rsidR="002E5374" w:rsidRDefault="002E5374" w:rsidP="00AD34D3"/>
    <w:p w:rsidR="002E5374" w:rsidRDefault="002E5374" w:rsidP="00AD34D3">
      <w:r>
        <w:t xml:space="preserve">Kyburg, H. (1977). “Randomness and the Right Reference Class,” </w:t>
      </w:r>
      <w:r w:rsidRPr="007A3C82">
        <w:rPr>
          <w:i/>
          <w:iCs/>
        </w:rPr>
        <w:t>The Journal of Philosophy</w:t>
      </w:r>
      <w:r>
        <w:t xml:space="preserve"> 74:9:501-521.</w:t>
      </w:r>
    </w:p>
    <w:p w:rsidR="002E5374" w:rsidRDefault="002E5374" w:rsidP="00AD34D3"/>
    <w:p w:rsidR="002E5374" w:rsidRPr="00D80F4F" w:rsidRDefault="002E5374" w:rsidP="00AD34D3">
      <w:r>
        <w:rPr>
          <w:color w:val="000000"/>
        </w:rPr>
        <w:t xml:space="preserve">McGrew, L. (2013a) </w:t>
      </w:r>
      <w:r w:rsidRPr="00D80F4F">
        <w:rPr>
          <w:color w:val="000000"/>
        </w:rPr>
        <w:t>“Probabilistic Issues Concerning Jesus of </w:t>
      </w:r>
      <w:r w:rsidRPr="00D80F4F">
        <w:t>Nazareth</w:t>
      </w:r>
      <w:r w:rsidRPr="00D80F4F">
        <w:rPr>
          <w:color w:val="000000"/>
        </w:rPr>
        <w:t> and Messianic Death Prophecies,” </w:t>
      </w:r>
      <w:r w:rsidRPr="00D80F4F">
        <w:rPr>
          <w:i/>
          <w:iCs/>
          <w:color w:val="000000"/>
        </w:rPr>
        <w:t>Philosophia Christi </w:t>
      </w:r>
      <w:r w:rsidRPr="00D80F4F">
        <w:rPr>
          <w:color w:val="000000"/>
        </w:rPr>
        <w:t>15:3 (2013), pp. 311-28.</w:t>
      </w:r>
    </w:p>
    <w:p w:rsidR="002E5374" w:rsidRDefault="002E5374" w:rsidP="00AD34D3"/>
    <w:p w:rsidR="002E5374" w:rsidRDefault="002E5374" w:rsidP="00AD34D3">
      <w:pPr>
        <w:rPr>
          <w:color w:val="000000"/>
        </w:rPr>
      </w:pPr>
      <w:r>
        <w:t>__________</w:t>
      </w:r>
      <w:r w:rsidRPr="00476206">
        <w:rPr>
          <w:color w:val="000000"/>
        </w:rPr>
        <w:t xml:space="preserve"> </w:t>
      </w:r>
      <w:r>
        <w:t xml:space="preserve">(2013b). </w:t>
      </w:r>
      <w:r w:rsidRPr="00476206">
        <w:rPr>
          <w:color w:val="000000"/>
        </w:rPr>
        <w:t>“Historical Inquiry,” In </w:t>
      </w:r>
      <w:r w:rsidRPr="00476206">
        <w:rPr>
          <w:i/>
          <w:iCs/>
          <w:color w:val="000000"/>
        </w:rPr>
        <w:t>The Routledge Companion to Theism</w:t>
      </w:r>
      <w:r w:rsidRPr="00476206">
        <w:rPr>
          <w:color w:val="000000"/>
        </w:rPr>
        <w:t>, ed. Victoria Harrison, Stewart Goetz, and Charles Taliaferro.</w:t>
      </w:r>
    </w:p>
    <w:p w:rsidR="002E5374" w:rsidRDefault="002E5374" w:rsidP="00AD34D3">
      <w:pPr>
        <w:rPr>
          <w:color w:val="000000"/>
        </w:rPr>
      </w:pPr>
    </w:p>
    <w:p w:rsidR="002E5374" w:rsidRDefault="002E5374" w:rsidP="00AD34D3">
      <w:pPr>
        <w:rPr>
          <w:rStyle w:val="grame"/>
          <w:color w:val="000000"/>
        </w:rPr>
      </w:pPr>
      <w:r>
        <w:t>__________</w:t>
      </w:r>
      <w:r w:rsidRPr="00476206">
        <w:rPr>
          <w:color w:val="000000"/>
        </w:rPr>
        <w:t xml:space="preserve"> </w:t>
      </w:r>
      <w:r>
        <w:rPr>
          <w:color w:val="000000"/>
        </w:rPr>
        <w:t xml:space="preserve"> (2014). </w:t>
      </w:r>
      <w:r w:rsidRPr="00476206">
        <w:rPr>
          <w:color w:val="000000"/>
        </w:rPr>
        <w:t>“On Not Counting the Cost: Ad Hocness and Disconfirmation,” </w:t>
      </w:r>
      <w:r w:rsidRPr="00476206">
        <w:rPr>
          <w:i/>
          <w:iCs/>
          <w:color w:val="000000"/>
        </w:rPr>
        <w:t>Acta Analytica</w:t>
      </w:r>
      <w:r>
        <w:rPr>
          <w:color w:val="000000"/>
        </w:rPr>
        <w:t> 29</w:t>
      </w:r>
      <w:r w:rsidRPr="00476206">
        <w:rPr>
          <w:color w:val="000000"/>
        </w:rPr>
        <w:t>:491-505. </w:t>
      </w:r>
      <w:r w:rsidRPr="00476206">
        <w:rPr>
          <w:rStyle w:val="grame"/>
          <w:color w:val="000000"/>
        </w:rPr>
        <w:t>DOI 10.1007/s12136014-0225-9.</w:t>
      </w:r>
    </w:p>
    <w:p w:rsidR="002E5374" w:rsidRDefault="002E5374" w:rsidP="00AD34D3">
      <w:pPr>
        <w:rPr>
          <w:rStyle w:val="grame"/>
          <w:color w:val="000000"/>
        </w:rPr>
      </w:pPr>
    </w:p>
    <w:p w:rsidR="002E5374" w:rsidRPr="00476206" w:rsidRDefault="002E5374" w:rsidP="00AD34D3">
      <w:pPr>
        <w:rPr>
          <w:color w:val="000000"/>
        </w:rPr>
      </w:pPr>
      <w:r>
        <w:t xml:space="preserve">__________(2017). </w:t>
      </w:r>
      <w:r w:rsidRPr="00D80F4F">
        <w:rPr>
          <w:i/>
          <w:iCs/>
        </w:rPr>
        <w:t>Hidden in Plain View: Undesigned Coincidences in the Gospels and Acts</w:t>
      </w:r>
      <w:r>
        <w:t xml:space="preserve"> (Chillicothe, OH: DeWard Publishing).</w:t>
      </w:r>
    </w:p>
    <w:p w:rsidR="002E5374" w:rsidRDefault="002E5374" w:rsidP="00AD34D3">
      <w:pPr>
        <w:rPr>
          <w:color w:val="000000"/>
        </w:rPr>
      </w:pPr>
    </w:p>
    <w:p w:rsidR="002E5374" w:rsidRDefault="002E5374" w:rsidP="00AD34D3">
      <w:pPr>
        <w:rPr>
          <w:color w:val="000000"/>
        </w:rPr>
      </w:pPr>
      <w:r>
        <w:t xml:space="preserve">__________(2018a) </w:t>
      </w:r>
      <w:r w:rsidRPr="00476206">
        <w:rPr>
          <w:color w:val="000000"/>
        </w:rPr>
        <w:t>“Of Generic Gods and Generic Men: The Limits of Armchair Philosophy of Religion.” </w:t>
      </w:r>
      <w:r w:rsidRPr="00476206">
        <w:rPr>
          <w:i/>
          <w:iCs/>
          <w:color w:val="000000"/>
        </w:rPr>
        <w:t>The Journal of Analytic Theism</w:t>
      </w:r>
      <w:r>
        <w:rPr>
          <w:color w:val="000000"/>
        </w:rPr>
        <w:t> 6</w:t>
      </w:r>
      <w:r w:rsidRPr="00476206">
        <w:rPr>
          <w:color w:val="000000"/>
        </w:rPr>
        <w:t>:183-203</w:t>
      </w:r>
      <w:r>
        <w:rPr>
          <w:color w:val="000000"/>
        </w:rPr>
        <w:t>.</w:t>
      </w:r>
      <w:r w:rsidRPr="00476206">
        <w:rPr>
          <w:color w:val="000000"/>
        </w:rPr>
        <w:t> </w:t>
      </w:r>
    </w:p>
    <w:p w:rsidR="002E5374" w:rsidRDefault="002E5374" w:rsidP="00AD34D3">
      <w:pPr>
        <w:rPr>
          <w:color w:val="000000"/>
        </w:rPr>
      </w:pPr>
    </w:p>
    <w:p w:rsidR="002E5374" w:rsidRPr="00D80F4F" w:rsidRDefault="002E5374" w:rsidP="00AD34D3">
      <w:r>
        <w:t>__________(2018b).</w:t>
      </w:r>
      <w:r w:rsidRPr="00D80F4F">
        <w:rPr>
          <w:color w:val="000000"/>
        </w:rPr>
        <w:t xml:space="preserve"> “The World, the Deceiver, and The Face in the Frost,” </w:t>
      </w:r>
      <w:r w:rsidRPr="00D80F4F">
        <w:rPr>
          <w:i/>
          <w:iCs/>
          <w:color w:val="000000"/>
        </w:rPr>
        <w:t>Quaestiones Disputatae</w:t>
      </w:r>
      <w:r w:rsidRPr="00D80F4F">
        <w:rPr>
          <w:color w:val="000000"/>
        </w:rPr>
        <w:t>, 7:2</w:t>
      </w:r>
      <w:r>
        <w:rPr>
          <w:color w:val="000000"/>
        </w:rPr>
        <w:t>:112-146.</w:t>
      </w:r>
    </w:p>
    <w:p w:rsidR="002E5374" w:rsidRDefault="002E5374" w:rsidP="00AD34D3"/>
    <w:p w:rsidR="002E5374" w:rsidRDefault="002E5374" w:rsidP="00AD34D3">
      <w:r>
        <w:t xml:space="preserve">__________(2019). </w:t>
      </w:r>
      <w:r w:rsidRPr="00D80F4F">
        <w:rPr>
          <w:i/>
          <w:iCs/>
        </w:rPr>
        <w:t>The Mirror or the Mask: Liberating the Gospels From Literary Devices</w:t>
      </w:r>
      <w:r>
        <w:t xml:space="preserve"> (Tampa, FL: DeWard Publishing). </w:t>
      </w:r>
    </w:p>
    <w:p w:rsidR="002E5374" w:rsidRDefault="002E5374" w:rsidP="00AD34D3"/>
    <w:p w:rsidR="002E5374" w:rsidRDefault="002E5374" w:rsidP="00AD34D3">
      <w:r>
        <w:t>__________(2021</w:t>
      </w:r>
      <w:r w:rsidRPr="00D80F4F">
        <w:rPr>
          <w:i/>
          <w:iCs/>
        </w:rPr>
        <w:t>). The Eye of the Beholder: The Gospel of John As Historical Reportage</w:t>
      </w:r>
      <w:r>
        <w:t xml:space="preserve"> (Tampa, FL: DeWard Publishing).</w:t>
      </w:r>
    </w:p>
    <w:p w:rsidR="002E5374" w:rsidRDefault="002E5374" w:rsidP="00AD34D3"/>
    <w:p w:rsidR="002E5374" w:rsidRDefault="002E5374" w:rsidP="00AD34D3">
      <w:r>
        <w:t xml:space="preserve">__________(2023). </w:t>
      </w:r>
      <w:r w:rsidRPr="00D80F4F">
        <w:rPr>
          <w:i/>
          <w:iCs/>
        </w:rPr>
        <w:t>Testimonies to the Truth: Why You Can Trust the Gospels</w:t>
      </w:r>
      <w:r>
        <w:t xml:space="preserve"> (Tampa, FL: DeWard Publishing).</w:t>
      </w:r>
    </w:p>
    <w:p w:rsidR="002E5374" w:rsidRDefault="002E5374" w:rsidP="00AD34D3"/>
    <w:p w:rsidR="002E5374" w:rsidRDefault="002E5374" w:rsidP="00AD34D3">
      <w:pPr>
        <w:rPr>
          <w:lang w:val="en-GB"/>
        </w:rPr>
      </w:pPr>
      <w:r>
        <w:rPr>
          <w:lang w:val="en-GB"/>
        </w:rPr>
        <w:t>McGrew, T. (</w:t>
      </w:r>
      <w:r w:rsidRPr="00DE017B">
        <w:rPr>
          <w:lang w:val="en-GB"/>
        </w:rPr>
        <w:t>2003</w:t>
      </w:r>
      <w:r>
        <w:rPr>
          <w:lang w:val="en-GB"/>
        </w:rPr>
        <w:t>). “</w:t>
      </w:r>
      <w:r w:rsidRPr="00DE017B">
        <w:rPr>
          <w:lang w:val="en-GB"/>
        </w:rPr>
        <w:t>Confirmation, Heuristics, and Explanatory Reasoning</w:t>
      </w:r>
      <w:r>
        <w:rPr>
          <w:lang w:val="en-GB"/>
        </w:rPr>
        <w:t>,”</w:t>
      </w:r>
      <w:r w:rsidRPr="00DE017B">
        <w:rPr>
          <w:lang w:val="en-GB"/>
        </w:rPr>
        <w:t xml:space="preserve"> </w:t>
      </w:r>
      <w:r w:rsidRPr="00DE017B">
        <w:rPr>
          <w:i/>
          <w:iCs/>
          <w:lang w:val="en-GB"/>
        </w:rPr>
        <w:t xml:space="preserve">British Journal for the Philosophy of Science </w:t>
      </w:r>
      <w:r w:rsidRPr="00DE017B">
        <w:rPr>
          <w:lang w:val="en-GB"/>
        </w:rPr>
        <w:t>54</w:t>
      </w:r>
      <w:r>
        <w:rPr>
          <w:lang w:val="en-GB"/>
        </w:rPr>
        <w:t>/4</w:t>
      </w:r>
      <w:r w:rsidRPr="00DE017B">
        <w:rPr>
          <w:lang w:val="en-GB"/>
        </w:rPr>
        <w:t>:553</w:t>
      </w:r>
      <w:r>
        <w:rPr>
          <w:lang w:val="en-GB"/>
        </w:rPr>
        <w:t>–</w:t>
      </w:r>
      <w:r w:rsidRPr="00DE017B">
        <w:rPr>
          <w:lang w:val="en-GB"/>
        </w:rPr>
        <w:t>67.</w:t>
      </w:r>
    </w:p>
    <w:p w:rsidR="002E5374" w:rsidRDefault="002E5374" w:rsidP="00AD34D3"/>
    <w:p w:rsidR="002E5374" w:rsidRDefault="002E5374" w:rsidP="00AD34D3">
      <w:r>
        <w:t xml:space="preserve">McGrew, L. and McGrew, T. (2006). </w:t>
      </w:r>
      <w:r w:rsidRPr="007A3C82">
        <w:rPr>
          <w:i/>
          <w:iCs/>
        </w:rPr>
        <w:t>Internalism and Epistemology: The Architecture of Reason</w:t>
      </w:r>
      <w:r>
        <w:t xml:space="preserve"> (New York, Routledge).</w:t>
      </w:r>
    </w:p>
    <w:p w:rsidR="002E5374" w:rsidRDefault="002E5374" w:rsidP="00AD34D3"/>
    <w:p w:rsidR="002E5374" w:rsidRPr="00D80F4F" w:rsidRDefault="002E5374" w:rsidP="00AD34D3">
      <w:r>
        <w:t>__________</w:t>
      </w:r>
      <w:r w:rsidRPr="00D80F4F">
        <w:rPr>
          <w:color w:val="000000"/>
        </w:rPr>
        <w:t xml:space="preserve"> </w:t>
      </w:r>
      <w:r>
        <w:rPr>
          <w:color w:val="000000"/>
        </w:rPr>
        <w:t xml:space="preserve">(2009). </w:t>
      </w:r>
      <w:r w:rsidRPr="00D80F4F">
        <w:rPr>
          <w:color w:val="000000"/>
        </w:rPr>
        <w:t>“The Argument from Miracles: A Cumulative Case for the Resurrection of Jesus of </w:t>
      </w:r>
      <w:r w:rsidRPr="00D80F4F">
        <w:t>Nazareth</w:t>
      </w:r>
      <w:r>
        <w:rPr>
          <w:color w:val="000000"/>
        </w:rPr>
        <w:t xml:space="preserve">.” </w:t>
      </w:r>
      <w:r w:rsidRPr="00D80F4F">
        <w:rPr>
          <w:color w:val="000000"/>
        </w:rPr>
        <w:t>In </w:t>
      </w:r>
      <w:r w:rsidRPr="00D80F4F">
        <w:rPr>
          <w:i/>
          <w:iCs/>
          <w:color w:val="000000"/>
        </w:rPr>
        <w:t>The Blackwell Companion to Natural Theology</w:t>
      </w:r>
      <w:r w:rsidRPr="00D80F4F">
        <w:rPr>
          <w:color w:val="000000"/>
        </w:rPr>
        <w:t>, edited by W. L. Craig and J. P. Moreland (Oxford</w:t>
      </w:r>
      <w:r>
        <w:rPr>
          <w:color w:val="000000"/>
        </w:rPr>
        <w:t>: Wiley-Blackwell)</w:t>
      </w:r>
      <w:r w:rsidRPr="00D80F4F">
        <w:rPr>
          <w:color w:val="000000"/>
        </w:rPr>
        <w:t>, pp. 593-662</w:t>
      </w:r>
      <w:r>
        <w:rPr>
          <w:color w:val="000000"/>
        </w:rPr>
        <w:t>.</w:t>
      </w:r>
    </w:p>
    <w:p w:rsidR="002E5374" w:rsidRDefault="002E5374" w:rsidP="00AD34D3"/>
    <w:p w:rsidR="002E5374" w:rsidRDefault="002E5374" w:rsidP="00AD34D3">
      <w:pPr>
        <w:widowControl w:val="0"/>
      </w:pPr>
      <w:r>
        <w:t xml:space="preserve">Sober, E. (1999). “Testability,” </w:t>
      </w:r>
      <w:r>
        <w:rPr>
          <w:i/>
          <w:iCs/>
        </w:rPr>
        <w:t>Proceedings and Addresses of the American Philosophical Association</w:t>
      </w:r>
      <w:r>
        <w:t xml:space="preserve"> 73:2, 47–76.</w:t>
      </w:r>
    </w:p>
    <w:p w:rsidR="002E5374" w:rsidRDefault="002E5374" w:rsidP="00AD34D3">
      <w:pPr>
        <w:widowControl w:val="0"/>
      </w:pPr>
    </w:p>
    <w:p w:rsidR="002E5374" w:rsidRPr="001801D0" w:rsidRDefault="002E5374" w:rsidP="00AD34D3">
      <w:r>
        <w:t>__________ (2004). “The Design Argument.”</w:t>
      </w:r>
      <w:r w:rsidRPr="00443B61">
        <w:rPr>
          <w:i/>
          <w:iCs/>
        </w:rPr>
        <w:t xml:space="preserve"> The Blackwell Guide to the Philosophy of Religion</w:t>
      </w:r>
      <w:r w:rsidRPr="00443B61">
        <w:t>, 117</w:t>
      </w:r>
      <w:r>
        <w:t>–</w:t>
      </w:r>
      <w:r w:rsidRPr="00443B61">
        <w:t>147</w:t>
      </w:r>
      <w:r>
        <w:t xml:space="preserve">. Edited by William E. Mann. Expanded version available at </w:t>
      </w:r>
      <w:hyperlink r:id="rId7" w:history="1">
        <w:r w:rsidRPr="000D1778">
          <w:rPr>
            <w:rStyle w:val="Hyperlink"/>
          </w:rPr>
          <w:t>https://appearedtoblogly.wordpress.com/wp-content/uploads/2011/05/sober-elliot-22the-design-argument22.pdf</w:t>
        </w:r>
      </w:hyperlink>
      <w:r>
        <w:t xml:space="preserve"> Accessed 8/2/25.</w:t>
      </w:r>
    </w:p>
    <w:p w:rsidR="002E5374" w:rsidRDefault="002E5374" w:rsidP="00AD34D3"/>
    <w:p w:rsidR="002E5374" w:rsidRDefault="002E5374" w:rsidP="00AD34D3">
      <w:r>
        <w:t xml:space="preserve">Stump, E. (1985). “The Problem of Evil,” </w:t>
      </w:r>
      <w:r w:rsidRPr="002B2679">
        <w:rPr>
          <w:i/>
          <w:iCs/>
        </w:rPr>
        <w:t>Faith and Philosophy</w:t>
      </w:r>
      <w:r>
        <w:t xml:space="preserve"> 2:4, pp. 392-423.</w:t>
      </w:r>
    </w:p>
    <w:p w:rsidR="002E5374" w:rsidRDefault="002E5374" w:rsidP="00AD34D3"/>
    <w:p w:rsidR="002E5374" w:rsidRPr="00850553" w:rsidRDefault="002E5374" w:rsidP="00850553">
      <w:r>
        <w:t xml:space="preserve">Swinburne, R. (2003). </w:t>
      </w:r>
      <w:r w:rsidRPr="00A24D11">
        <w:rPr>
          <w:i/>
          <w:iCs/>
        </w:rPr>
        <w:t>The Resurrection of God Incarnate</w:t>
      </w:r>
      <w:r>
        <w:t xml:space="preserve"> (Oxford: Clarendon Press).</w:t>
      </w:r>
    </w:p>
    <w:sectPr w:rsidR="002E5374" w:rsidRPr="00850553" w:rsidSect="00FA1AA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374" w:rsidRDefault="002E5374">
      <w:r>
        <w:separator/>
      </w:r>
    </w:p>
  </w:endnote>
  <w:endnote w:type="continuationSeparator" w:id="0">
    <w:p w:rsidR="002E5374" w:rsidRDefault="002E53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374" w:rsidRDefault="002E5374" w:rsidP="00F7222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E5374" w:rsidRDefault="002E5374" w:rsidP="00162AB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374" w:rsidRDefault="002E5374">
      <w:r>
        <w:separator/>
      </w:r>
    </w:p>
  </w:footnote>
  <w:footnote w:type="continuationSeparator" w:id="0">
    <w:p w:rsidR="002E5374" w:rsidRDefault="002E5374">
      <w:r>
        <w:continuationSeparator/>
      </w:r>
    </w:p>
  </w:footnote>
  <w:footnote w:id="1">
    <w:p w:rsidR="002E5374" w:rsidRDefault="002E5374">
      <w:pPr>
        <w:pStyle w:val="FootnoteText"/>
      </w:pPr>
      <w:r>
        <w:rPr>
          <w:rStyle w:val="FootnoteReference"/>
        </w:rPr>
        <w:footnoteRef/>
      </w:r>
      <w:r>
        <w:t xml:space="preserve"> Note that what I’m suggesting here is that the skeptical theist say that the </w:t>
      </w:r>
      <w:r w:rsidRPr="00D74562">
        <w:rPr>
          <w:i/>
          <w:iCs/>
        </w:rPr>
        <w:t>Bayes factor</w:t>
      </w:r>
      <w:r>
        <w:t xml:space="preserve"> is equal to 1, not that the probability of evil given theism is equal to 1.</w:t>
      </w:r>
    </w:p>
  </w:footnote>
  <w:footnote w:id="2">
    <w:p w:rsidR="002E5374" w:rsidRDefault="002E5374">
      <w:pPr>
        <w:pStyle w:val="FootnoteText"/>
      </w:pPr>
      <w:r>
        <w:rPr>
          <w:rStyle w:val="FootnoteReference"/>
        </w:rPr>
        <w:footnoteRef/>
      </w:r>
      <w:r>
        <w:t xml:space="preserve"> There are other probabilistic effects of the knowledge that the coin is weighted which aren’t discussed here. The point here concerns the probabilities of heads and tails on the first toss, if we have no information about which way the coin is weighted. A series of heads (or tails), combined with a high prior that the coin is weighted, will more quickly lead to the conclusion that the coin is weighted in favor of a particular outcome than would be the case if the prior probability of an unfair coin was low.</w:t>
      </w:r>
    </w:p>
  </w:footnote>
  <w:footnote w:id="3">
    <w:p w:rsidR="002E5374" w:rsidRDefault="002E5374">
      <w:pPr>
        <w:pStyle w:val="FootnoteText"/>
      </w:pPr>
      <w:r>
        <w:rPr>
          <w:rStyle w:val="FootnoteReference"/>
        </w:rPr>
        <w:footnoteRef/>
      </w:r>
      <w:r>
        <w:t xml:space="preserve"> In considering various attempted theodicies, Draper (1989, pp. 339-345) does not consider the potential theodicical value of an afterlife, perhaps because he does not consider evidence for any more specific religious tradition that teaches about an afterlife.</w:t>
      </w:r>
    </w:p>
  </w:footnote>
  <w:footnote w:id="4">
    <w:p w:rsidR="002E5374" w:rsidRDefault="002E5374">
      <w:pPr>
        <w:pStyle w:val="FootnoteText"/>
      </w:pPr>
      <w:r>
        <w:rPr>
          <w:rStyle w:val="FootnoteReference"/>
        </w:rPr>
        <w:footnoteRef/>
      </w:r>
      <w:r>
        <w:t xml:space="preserve"> I am indebted to Casey Luskin for this phrase, “The worst thing is the best thing.”</w:t>
      </w:r>
    </w:p>
  </w:footnote>
  <w:footnote w:id="5">
    <w:p w:rsidR="002E5374" w:rsidRDefault="002E5374">
      <w:pPr>
        <w:pStyle w:val="FootnoteText"/>
      </w:pPr>
      <w:r>
        <w:rPr>
          <w:rStyle w:val="FootnoteReference"/>
        </w:rPr>
        <w:footnoteRef/>
      </w:r>
      <w:r>
        <w:t xml:space="preserve"> Draper (1989, pp. 347-348) briefly considers various possible arguments for theism which could offset the negative evidential impact of the Problem of Evil, but he does not consider any historical argument for a miracle, nor any arguments for specific religions, nor any positive impact from such an argument upon theism. He is rather dismissive even of the force of other theistic arguments, merely stating that they are “far from compelling,” which might well be his response to specific arguments for Christian theism, but such a dismissive comment hardly amounts to a careful consideration and refutation. </w:t>
      </w:r>
    </w:p>
  </w:footnote>
  <w:footnote w:id="6">
    <w:p w:rsidR="002E5374" w:rsidRDefault="002E5374" w:rsidP="002111FF">
      <w:pPr>
        <w:pStyle w:val="FootnoteText"/>
        <w:tabs>
          <w:tab w:val="left" w:pos="504"/>
        </w:tabs>
      </w:pPr>
      <w:r>
        <w:rPr>
          <w:rStyle w:val="FootnoteReference"/>
        </w:rPr>
        <w:footnoteRef/>
      </w:r>
      <w:r>
        <w:t xml:space="preserve"> Richard Swinburne (2003, pp. 30-31, 50, 212) suggests that the specific evidence that Jesus rose from the dead and was God Incarnate, though it has some force, would not be strong enough to yield a high posterior probability for that proposition were it not for a background of natural theology yielding a decent probability for traditional theism. He suggests that this latter probability is not less than .5 and that the probability of an incarnation (somewhere or other) given traditional theism is also not less than .5. (This yields a probability of an incarnation somewhere of no less than .25, on background evidence.) I disagree with Swinburne that the specific evidence about Jesus is incapable of overcoming a very low prior probability; hence, I disagree with him about the </w:t>
      </w:r>
      <w:r w:rsidRPr="00D85F53">
        <w:t xml:space="preserve">need </w:t>
      </w:r>
      <w:r>
        <w:t>for such a successful project of purely natural theology (making the prior probability of traditional theism at least .5). One factor that plausibly depresses Swinburne’s evaluation of the force of the resurrection argument is his acceptance of a critical view of the reliability of the Gospels; for example, he states, as if it is a settled conclusion, that John “had a habit” of making up material about Jesus that was not literally true (p. 107-108). See L. McGrew, 2021, for a very different view of the Fourth Gospel.</w:t>
      </w:r>
    </w:p>
  </w:footnote>
  <w:footnote w:id="7">
    <w:p w:rsidR="002E5374" w:rsidRDefault="002E5374">
      <w:pPr>
        <w:pStyle w:val="FootnoteText"/>
      </w:pPr>
      <w:r>
        <w:rPr>
          <w:rStyle w:val="FootnoteReference"/>
        </w:rPr>
        <w:footnoteRef/>
      </w:r>
      <w:r>
        <w:t xml:space="preserve"> Roman Catholic teaching holds that infants who are baptized are saved and will have the beatific vision in the afterlife (</w:t>
      </w:r>
      <w:r w:rsidRPr="003D6D29">
        <w:rPr>
          <w:i/>
          <w:iCs/>
        </w:rPr>
        <w:t>Catechism of the Catholic Church</w:t>
      </w:r>
      <w:r>
        <w:t>, 1250). The Catholic view thus restricts the scope of the problem to infants and others in a similar mental situation who are unbaptized. There, Catholic teaching says only that we may “hope that there is a way of salvation for children who have died without baptism” (</w:t>
      </w:r>
      <w:r w:rsidRPr="003D6D29">
        <w:rPr>
          <w:i/>
          <w:iCs/>
        </w:rPr>
        <w:t>Catechism</w:t>
      </w:r>
      <w:r>
        <w:t>, 1261), which is similar to a Protestant position concerning innocents who die without being able to obtain the normal means of salvation, such as personal belief.</w:t>
      </w:r>
    </w:p>
  </w:footnote>
  <w:footnote w:id="8">
    <w:p w:rsidR="002E5374" w:rsidRDefault="002E5374">
      <w:pPr>
        <w:pStyle w:val="FootnoteText"/>
      </w:pPr>
      <w:r>
        <w:rPr>
          <w:rStyle w:val="FootnoteReference"/>
        </w:rPr>
        <w:footnoteRef/>
      </w:r>
      <w:r>
        <w:t xml:space="preserve"> Draper (1989, pp. 337-338) seems to assume that a benevolent God would need to have a purpose for suffering that benefited individual animals who experience suffering as well as individual humans who experience it. If individual non-sapient animals belonging to non-sapient species do not have to be treated as ends in themselves, however, this assumption is open to serious question, and we need only consider the problem concerning other individuals, such as human infants.</w:t>
      </w:r>
    </w:p>
  </w:footnote>
  <w:footnote w:id="9">
    <w:p w:rsidR="002E5374" w:rsidRDefault="002E5374">
      <w:pPr>
        <w:pStyle w:val="FootnoteText"/>
      </w:pPr>
      <w:r>
        <w:rPr>
          <w:rStyle w:val="FootnoteReference"/>
        </w:rPr>
        <w:footnoteRef/>
      </w:r>
      <w:r>
        <w:t xml:space="preserve"> A variant on this scenario would be that God, through middle knowledge, knows which of these persons would choose him if given the capacity to understand and offers this opportunity only to them. This, however, would leave the fate of the others unknown, with the somewhat counterintuitive possibility that some persons who have </w:t>
      </w:r>
      <w:r w:rsidRPr="0029421F">
        <w:rPr>
          <w:i/>
          <w:iCs/>
        </w:rPr>
        <w:t>never</w:t>
      </w:r>
      <w:r>
        <w:t xml:space="preserve"> sinned in this life (due to incapacity for morally relevant action) will be given increased mental capacity at death only to be immediately consigned to separation from God, based solely upon God’s middle knowledge that they </w:t>
      </w:r>
      <w:r w:rsidRPr="0029421F">
        <w:rPr>
          <w:i/>
          <w:iCs/>
        </w:rPr>
        <w:t>would</w:t>
      </w:r>
      <w:r>
        <w:t xml:space="preserve"> choose such separation if given the opportunity. The simpler version of the scenario is that God grants both the relevant capacity </w:t>
      </w:r>
      <w:r w:rsidRPr="0029421F">
        <w:rPr>
          <w:i/>
          <w:iCs/>
        </w:rPr>
        <w:t>and</w:t>
      </w:r>
      <w:r>
        <w:t xml:space="preserve"> opportunity and that these persons’ eternal destiny is then determined by what they actually choose; in that case a choice against God would itself be sinful, and all the more so if we take it that such a post-death opportunity is made especially clear.</w:t>
      </w:r>
    </w:p>
  </w:footnote>
  <w:footnote w:id="10">
    <w:p w:rsidR="002E5374" w:rsidRDefault="002E5374">
      <w:pPr>
        <w:pStyle w:val="FootnoteText"/>
      </w:pPr>
      <w:r>
        <w:rPr>
          <w:rStyle w:val="FootnoteReference"/>
        </w:rPr>
        <w:footnoteRef/>
      </w:r>
      <w:r>
        <w:t xml:space="preserve"> Stump (1985, 410-411) suggests similar scenarios.</w:t>
      </w:r>
    </w:p>
  </w:footnote>
  <w:footnote w:id="11">
    <w:p w:rsidR="002E5374" w:rsidRDefault="002E5374">
      <w:pPr>
        <w:pStyle w:val="FootnoteText"/>
      </w:pPr>
      <w:r>
        <w:rPr>
          <w:rStyle w:val="FootnoteReference"/>
        </w:rPr>
        <w:footnoteRef/>
      </w:r>
      <w:r>
        <w:t xml:space="preserve"> I owe this objection to Perry Hendricks.</w:t>
      </w:r>
    </w:p>
  </w:footnote>
  <w:footnote w:id="12">
    <w:p w:rsidR="002E5374" w:rsidRDefault="002E5374" w:rsidP="0097140A">
      <w:pPr>
        <w:pStyle w:val="FootnoteText"/>
      </w:pPr>
      <w:r>
        <w:rPr>
          <w:rStyle w:val="FootnoteReference"/>
        </w:rPr>
        <w:footnoteRef/>
      </w:r>
      <w:r>
        <w:t xml:space="preserve"> One of the strangest aspects of Draper’s version of the evidential Problem of Evil is his attempt (1989, pp. 336-337) to argue that even pleasures are evidence </w:t>
      </w:r>
      <w:r w:rsidRPr="00E22FC1">
        <w:rPr>
          <w:i/>
          <w:iCs/>
        </w:rPr>
        <w:t>against theism</w:t>
      </w:r>
      <w:r>
        <w:t xml:space="preserve"> if they also have biological utility. It should take very little imagination to see why God would find it valuable—both beautiful and elegant--to create physical, sentient creatures in such a way that some things are both pleasurable for them and biologically valuable (e.g., eating, sex, bodily exercise).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59A"/>
    <w:rsid w:val="00016C79"/>
    <w:rsid w:val="0006268B"/>
    <w:rsid w:val="00064BCB"/>
    <w:rsid w:val="00093F6D"/>
    <w:rsid w:val="000A30DD"/>
    <w:rsid w:val="000A63CB"/>
    <w:rsid w:val="000B1F8F"/>
    <w:rsid w:val="000B2777"/>
    <w:rsid w:val="000C1649"/>
    <w:rsid w:val="000C78E2"/>
    <w:rsid w:val="000D1778"/>
    <w:rsid w:val="000E25F1"/>
    <w:rsid w:val="001037AB"/>
    <w:rsid w:val="00133361"/>
    <w:rsid w:val="00144641"/>
    <w:rsid w:val="0014765F"/>
    <w:rsid w:val="0015466E"/>
    <w:rsid w:val="00162AB9"/>
    <w:rsid w:val="00175E5C"/>
    <w:rsid w:val="001801D0"/>
    <w:rsid w:val="00196CA0"/>
    <w:rsid w:val="001C0103"/>
    <w:rsid w:val="001C4DC3"/>
    <w:rsid w:val="00200B72"/>
    <w:rsid w:val="002111FF"/>
    <w:rsid w:val="00232566"/>
    <w:rsid w:val="00244D19"/>
    <w:rsid w:val="00245A08"/>
    <w:rsid w:val="00250AD0"/>
    <w:rsid w:val="00251DB5"/>
    <w:rsid w:val="00275D03"/>
    <w:rsid w:val="00276A00"/>
    <w:rsid w:val="0028060C"/>
    <w:rsid w:val="0029421F"/>
    <w:rsid w:val="002A0941"/>
    <w:rsid w:val="002A0B74"/>
    <w:rsid w:val="002A591D"/>
    <w:rsid w:val="002B0294"/>
    <w:rsid w:val="002B2679"/>
    <w:rsid w:val="002D61E3"/>
    <w:rsid w:val="002E29EE"/>
    <w:rsid w:val="002E2D5C"/>
    <w:rsid w:val="002E5374"/>
    <w:rsid w:val="002F153C"/>
    <w:rsid w:val="0030411B"/>
    <w:rsid w:val="00312071"/>
    <w:rsid w:val="00313154"/>
    <w:rsid w:val="0032024B"/>
    <w:rsid w:val="00330513"/>
    <w:rsid w:val="003648F8"/>
    <w:rsid w:val="00382818"/>
    <w:rsid w:val="003864EE"/>
    <w:rsid w:val="003914EB"/>
    <w:rsid w:val="00395FE8"/>
    <w:rsid w:val="003974A1"/>
    <w:rsid w:val="003A1546"/>
    <w:rsid w:val="003D6D29"/>
    <w:rsid w:val="003E1213"/>
    <w:rsid w:val="003E4F59"/>
    <w:rsid w:val="003F50E9"/>
    <w:rsid w:val="003F6FC7"/>
    <w:rsid w:val="00403489"/>
    <w:rsid w:val="00443B61"/>
    <w:rsid w:val="00444C9A"/>
    <w:rsid w:val="00447005"/>
    <w:rsid w:val="00476206"/>
    <w:rsid w:val="00490509"/>
    <w:rsid w:val="004A31B6"/>
    <w:rsid w:val="004A393E"/>
    <w:rsid w:val="004B1229"/>
    <w:rsid w:val="004D3C53"/>
    <w:rsid w:val="00540266"/>
    <w:rsid w:val="00547D29"/>
    <w:rsid w:val="0056145F"/>
    <w:rsid w:val="00563F6A"/>
    <w:rsid w:val="00564282"/>
    <w:rsid w:val="005856E1"/>
    <w:rsid w:val="00590C7A"/>
    <w:rsid w:val="0059291F"/>
    <w:rsid w:val="005A00A1"/>
    <w:rsid w:val="005A382F"/>
    <w:rsid w:val="005A6F03"/>
    <w:rsid w:val="005A7BC7"/>
    <w:rsid w:val="005E4B06"/>
    <w:rsid w:val="005F171D"/>
    <w:rsid w:val="006175DA"/>
    <w:rsid w:val="00631F08"/>
    <w:rsid w:val="006343E2"/>
    <w:rsid w:val="006505E1"/>
    <w:rsid w:val="00676916"/>
    <w:rsid w:val="006921CA"/>
    <w:rsid w:val="00694271"/>
    <w:rsid w:val="006A1BBC"/>
    <w:rsid w:val="006C0531"/>
    <w:rsid w:val="006C2FE7"/>
    <w:rsid w:val="006C6A6D"/>
    <w:rsid w:val="006D05E6"/>
    <w:rsid w:val="006E335B"/>
    <w:rsid w:val="00713772"/>
    <w:rsid w:val="00732B1B"/>
    <w:rsid w:val="00737DAF"/>
    <w:rsid w:val="00741498"/>
    <w:rsid w:val="00742272"/>
    <w:rsid w:val="00744119"/>
    <w:rsid w:val="00763630"/>
    <w:rsid w:val="007957D5"/>
    <w:rsid w:val="007A24E9"/>
    <w:rsid w:val="007A3A09"/>
    <w:rsid w:val="007A3C82"/>
    <w:rsid w:val="007B6968"/>
    <w:rsid w:val="007C34A4"/>
    <w:rsid w:val="007E3FC3"/>
    <w:rsid w:val="007E6866"/>
    <w:rsid w:val="00816632"/>
    <w:rsid w:val="00841DFC"/>
    <w:rsid w:val="00850553"/>
    <w:rsid w:val="00861CF5"/>
    <w:rsid w:val="008656C6"/>
    <w:rsid w:val="008728C8"/>
    <w:rsid w:val="0088173D"/>
    <w:rsid w:val="008839DE"/>
    <w:rsid w:val="0089734A"/>
    <w:rsid w:val="008A61B8"/>
    <w:rsid w:val="008B4066"/>
    <w:rsid w:val="008C7D92"/>
    <w:rsid w:val="008F175A"/>
    <w:rsid w:val="008F7418"/>
    <w:rsid w:val="00906A2D"/>
    <w:rsid w:val="0093162D"/>
    <w:rsid w:val="00933D32"/>
    <w:rsid w:val="00950309"/>
    <w:rsid w:val="00970596"/>
    <w:rsid w:val="0097140A"/>
    <w:rsid w:val="00991538"/>
    <w:rsid w:val="009A76C0"/>
    <w:rsid w:val="009B2693"/>
    <w:rsid w:val="009D2520"/>
    <w:rsid w:val="009F42AA"/>
    <w:rsid w:val="00A20D67"/>
    <w:rsid w:val="00A24D11"/>
    <w:rsid w:val="00A44D71"/>
    <w:rsid w:val="00A4627C"/>
    <w:rsid w:val="00A60115"/>
    <w:rsid w:val="00A61A42"/>
    <w:rsid w:val="00A65277"/>
    <w:rsid w:val="00A653BC"/>
    <w:rsid w:val="00A826A6"/>
    <w:rsid w:val="00AD34D3"/>
    <w:rsid w:val="00AD433C"/>
    <w:rsid w:val="00AD70AC"/>
    <w:rsid w:val="00AF0235"/>
    <w:rsid w:val="00B15432"/>
    <w:rsid w:val="00B21A55"/>
    <w:rsid w:val="00B32F75"/>
    <w:rsid w:val="00B44411"/>
    <w:rsid w:val="00B62CA1"/>
    <w:rsid w:val="00B756B9"/>
    <w:rsid w:val="00B82FDF"/>
    <w:rsid w:val="00B85885"/>
    <w:rsid w:val="00B94FA1"/>
    <w:rsid w:val="00BB29FC"/>
    <w:rsid w:val="00BB6786"/>
    <w:rsid w:val="00BE2F9A"/>
    <w:rsid w:val="00BE4B6D"/>
    <w:rsid w:val="00BF36D5"/>
    <w:rsid w:val="00C12C05"/>
    <w:rsid w:val="00C322CE"/>
    <w:rsid w:val="00C3465A"/>
    <w:rsid w:val="00C641F8"/>
    <w:rsid w:val="00CA2DC9"/>
    <w:rsid w:val="00CB15F9"/>
    <w:rsid w:val="00CB2703"/>
    <w:rsid w:val="00CC698B"/>
    <w:rsid w:val="00CC6DBE"/>
    <w:rsid w:val="00CF2AEE"/>
    <w:rsid w:val="00D00F48"/>
    <w:rsid w:val="00D05E9D"/>
    <w:rsid w:val="00D1069D"/>
    <w:rsid w:val="00D2759A"/>
    <w:rsid w:val="00D434DA"/>
    <w:rsid w:val="00D718C9"/>
    <w:rsid w:val="00D72344"/>
    <w:rsid w:val="00D72687"/>
    <w:rsid w:val="00D74562"/>
    <w:rsid w:val="00D7753B"/>
    <w:rsid w:val="00D80C87"/>
    <w:rsid w:val="00D80F4F"/>
    <w:rsid w:val="00D85F53"/>
    <w:rsid w:val="00D97EB5"/>
    <w:rsid w:val="00DB22D3"/>
    <w:rsid w:val="00DC281E"/>
    <w:rsid w:val="00DD24D4"/>
    <w:rsid w:val="00DE017B"/>
    <w:rsid w:val="00E10B1E"/>
    <w:rsid w:val="00E22FC1"/>
    <w:rsid w:val="00E24822"/>
    <w:rsid w:val="00E27373"/>
    <w:rsid w:val="00E34A6F"/>
    <w:rsid w:val="00E401AE"/>
    <w:rsid w:val="00E57D92"/>
    <w:rsid w:val="00E71276"/>
    <w:rsid w:val="00E7144B"/>
    <w:rsid w:val="00E742CD"/>
    <w:rsid w:val="00E8465C"/>
    <w:rsid w:val="00E92B78"/>
    <w:rsid w:val="00EA182A"/>
    <w:rsid w:val="00EB4FA0"/>
    <w:rsid w:val="00EC5ECB"/>
    <w:rsid w:val="00ED632C"/>
    <w:rsid w:val="00EF57FE"/>
    <w:rsid w:val="00EF6F1F"/>
    <w:rsid w:val="00F257B4"/>
    <w:rsid w:val="00F35D7A"/>
    <w:rsid w:val="00F57901"/>
    <w:rsid w:val="00F72221"/>
    <w:rsid w:val="00FA1AA3"/>
    <w:rsid w:val="00FC49FE"/>
    <w:rsid w:val="00FD4AA8"/>
    <w:rsid w:val="00FD79E4"/>
    <w:rsid w:val="00FE0B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90C7A"/>
    <w:pPr>
      <w:spacing w:line="259"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rsid w:val="00590C7A"/>
    <w:rPr>
      <w:vertAlign w:val="superscript"/>
    </w:rPr>
  </w:style>
  <w:style w:type="paragraph" w:styleId="EndnoteText">
    <w:name w:val="endnote text"/>
    <w:basedOn w:val="Normal"/>
    <w:link w:val="EndnoteTextChar"/>
    <w:uiPriority w:val="99"/>
    <w:semiHidden/>
    <w:rsid w:val="00590C7A"/>
    <w:pPr>
      <w:widowControl w:val="0"/>
      <w:spacing w:line="240" w:lineRule="auto"/>
    </w:pPr>
    <w:rPr>
      <w:rFonts w:eastAsia="Times New Roman"/>
      <w:sz w:val="20"/>
      <w:szCs w:val="20"/>
    </w:rPr>
  </w:style>
  <w:style w:type="character" w:customStyle="1" w:styleId="EndnoteTextChar">
    <w:name w:val="Endnote Text Char"/>
    <w:basedOn w:val="DefaultParagraphFont"/>
    <w:link w:val="EndnoteText"/>
    <w:uiPriority w:val="99"/>
    <w:locked/>
    <w:rsid w:val="00590C7A"/>
    <w:rPr>
      <w:rFonts w:ascii="Times New Roman" w:hAnsi="Times New Roman" w:cs="Times New Roman"/>
      <w:sz w:val="20"/>
      <w:szCs w:val="20"/>
    </w:rPr>
  </w:style>
  <w:style w:type="paragraph" w:styleId="FootnoteText">
    <w:name w:val="footnote text"/>
    <w:basedOn w:val="Normal"/>
    <w:link w:val="FootnoteTextChar"/>
    <w:uiPriority w:val="99"/>
    <w:semiHidden/>
    <w:locked/>
    <w:rsid w:val="002E2D5C"/>
    <w:rPr>
      <w:sz w:val="20"/>
      <w:szCs w:val="20"/>
    </w:rPr>
  </w:style>
  <w:style w:type="character" w:customStyle="1" w:styleId="FootnoteTextChar">
    <w:name w:val="Footnote Text Char"/>
    <w:basedOn w:val="DefaultParagraphFont"/>
    <w:link w:val="FootnoteText"/>
    <w:uiPriority w:val="99"/>
    <w:semiHidden/>
    <w:locked/>
    <w:rsid w:val="00244D19"/>
    <w:rPr>
      <w:sz w:val="20"/>
      <w:szCs w:val="20"/>
    </w:rPr>
  </w:style>
  <w:style w:type="character" w:styleId="FootnoteReference">
    <w:name w:val="footnote reference"/>
    <w:basedOn w:val="DefaultParagraphFont"/>
    <w:uiPriority w:val="99"/>
    <w:semiHidden/>
    <w:locked/>
    <w:rsid w:val="002E2D5C"/>
    <w:rPr>
      <w:vertAlign w:val="superscript"/>
    </w:rPr>
  </w:style>
  <w:style w:type="paragraph" w:customStyle="1" w:styleId="Default">
    <w:name w:val="Default"/>
    <w:uiPriority w:val="99"/>
    <w:rsid w:val="00AD34D3"/>
    <w:pPr>
      <w:autoSpaceDE w:val="0"/>
      <w:autoSpaceDN w:val="0"/>
      <w:adjustRightInd w:val="0"/>
    </w:pPr>
    <w:rPr>
      <w:color w:val="000000"/>
      <w:sz w:val="24"/>
      <w:szCs w:val="24"/>
    </w:rPr>
  </w:style>
  <w:style w:type="character" w:styleId="Hyperlink">
    <w:name w:val="Hyperlink"/>
    <w:basedOn w:val="DefaultParagraphFont"/>
    <w:uiPriority w:val="99"/>
    <w:locked/>
    <w:rsid w:val="00AD34D3"/>
    <w:rPr>
      <w:color w:val="0000FF"/>
      <w:u w:val="single"/>
    </w:rPr>
  </w:style>
  <w:style w:type="character" w:customStyle="1" w:styleId="grame">
    <w:name w:val="grame"/>
    <w:basedOn w:val="DefaultParagraphFont"/>
    <w:uiPriority w:val="99"/>
    <w:rsid w:val="00AD34D3"/>
  </w:style>
  <w:style w:type="character" w:styleId="CommentReference">
    <w:name w:val="annotation reference"/>
    <w:basedOn w:val="DefaultParagraphFont"/>
    <w:uiPriority w:val="99"/>
    <w:semiHidden/>
    <w:locked/>
    <w:rsid w:val="00E71276"/>
    <w:rPr>
      <w:sz w:val="16"/>
      <w:szCs w:val="16"/>
    </w:rPr>
  </w:style>
  <w:style w:type="paragraph" w:styleId="CommentText">
    <w:name w:val="annotation text"/>
    <w:basedOn w:val="Normal"/>
    <w:link w:val="CommentTextChar"/>
    <w:uiPriority w:val="99"/>
    <w:semiHidden/>
    <w:locked/>
    <w:rsid w:val="00E71276"/>
    <w:rPr>
      <w:sz w:val="20"/>
      <w:szCs w:val="20"/>
    </w:rPr>
  </w:style>
  <w:style w:type="character" w:customStyle="1" w:styleId="CommentTextChar">
    <w:name w:val="Comment Text Char"/>
    <w:basedOn w:val="DefaultParagraphFont"/>
    <w:link w:val="CommentText"/>
    <w:uiPriority w:val="99"/>
    <w:semiHidden/>
    <w:locked/>
    <w:rsid w:val="007B6968"/>
    <w:rPr>
      <w:sz w:val="20"/>
      <w:szCs w:val="20"/>
    </w:rPr>
  </w:style>
  <w:style w:type="paragraph" w:styleId="CommentSubject">
    <w:name w:val="annotation subject"/>
    <w:basedOn w:val="CommentText"/>
    <w:next w:val="CommentText"/>
    <w:link w:val="CommentSubjectChar"/>
    <w:uiPriority w:val="99"/>
    <w:semiHidden/>
    <w:locked/>
    <w:rsid w:val="00E71276"/>
    <w:rPr>
      <w:b/>
      <w:bCs/>
    </w:rPr>
  </w:style>
  <w:style w:type="character" w:customStyle="1" w:styleId="CommentSubjectChar">
    <w:name w:val="Comment Subject Char"/>
    <w:basedOn w:val="CommentTextChar"/>
    <w:link w:val="CommentSubject"/>
    <w:uiPriority w:val="99"/>
    <w:semiHidden/>
    <w:locked/>
    <w:rsid w:val="007B6968"/>
    <w:rPr>
      <w:b/>
      <w:bCs/>
    </w:rPr>
  </w:style>
  <w:style w:type="paragraph" w:styleId="BalloonText">
    <w:name w:val="Balloon Text"/>
    <w:basedOn w:val="Normal"/>
    <w:link w:val="BalloonTextChar"/>
    <w:uiPriority w:val="99"/>
    <w:semiHidden/>
    <w:locked/>
    <w:rsid w:val="00E7127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6968"/>
    <w:rPr>
      <w:sz w:val="2"/>
      <w:szCs w:val="2"/>
    </w:rPr>
  </w:style>
  <w:style w:type="paragraph" w:styleId="Footer">
    <w:name w:val="footer"/>
    <w:basedOn w:val="Normal"/>
    <w:link w:val="FooterChar"/>
    <w:uiPriority w:val="99"/>
    <w:locked/>
    <w:rsid w:val="00162AB9"/>
    <w:pPr>
      <w:tabs>
        <w:tab w:val="center" w:pos="4320"/>
        <w:tab w:val="right" w:pos="8640"/>
      </w:tabs>
    </w:pPr>
  </w:style>
  <w:style w:type="character" w:customStyle="1" w:styleId="FooterChar">
    <w:name w:val="Footer Char"/>
    <w:basedOn w:val="DefaultParagraphFont"/>
    <w:link w:val="Footer"/>
    <w:uiPriority w:val="99"/>
    <w:semiHidden/>
    <w:locked/>
    <w:rPr>
      <w:sz w:val="24"/>
      <w:szCs w:val="24"/>
    </w:rPr>
  </w:style>
  <w:style w:type="character" w:styleId="PageNumber">
    <w:name w:val="page number"/>
    <w:basedOn w:val="DefaultParagraphFont"/>
    <w:uiPriority w:val="99"/>
    <w:locked/>
    <w:rsid w:val="00162AB9"/>
  </w:style>
</w:styles>
</file>

<file path=word/webSettings.xml><?xml version="1.0" encoding="utf-8"?>
<w:webSettings xmlns:r="http://schemas.openxmlformats.org/officeDocument/2006/relationships" xmlns:w="http://schemas.openxmlformats.org/wordprocessingml/2006/main">
  <w:divs>
    <w:div w:id="6876070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appearedtoblogly.wordpress.com/wp-content/uploads/2011/05/sober-elliot-22the-design-argument22.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omasmcrisp.com/wp-content/uploads/2017/07/on-believing-that-the-scriptures-are-divinely-inspired.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6546</TotalTime>
  <Pages>18</Pages>
  <Words>7655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McGrew</dc:creator>
  <cp:keywords/>
  <dc:description/>
  <cp:lastModifiedBy>lydiamcgrew@gmail.com</cp:lastModifiedBy>
  <cp:revision>76</cp:revision>
  <dcterms:created xsi:type="dcterms:W3CDTF">2024-07-24T18:08:00Z</dcterms:created>
  <dcterms:modified xsi:type="dcterms:W3CDTF">2025-08-03T17:11:00Z</dcterms:modified>
</cp:coreProperties>
</file>